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4"/>
        <w:gridCol w:w="646"/>
        <w:gridCol w:w="681"/>
        <w:gridCol w:w="209"/>
        <w:gridCol w:w="414"/>
        <w:gridCol w:w="155"/>
        <w:gridCol w:w="187"/>
        <w:gridCol w:w="362"/>
        <w:gridCol w:w="709"/>
        <w:gridCol w:w="151"/>
        <w:gridCol w:w="303"/>
        <w:gridCol w:w="353"/>
        <w:gridCol w:w="217"/>
        <w:gridCol w:w="570"/>
        <w:gridCol w:w="77"/>
        <w:gridCol w:w="74"/>
        <w:gridCol w:w="419"/>
        <w:gridCol w:w="110"/>
        <w:gridCol w:w="408"/>
        <w:gridCol w:w="51"/>
        <w:gridCol w:w="263"/>
        <w:gridCol w:w="307"/>
        <w:gridCol w:w="317"/>
        <w:gridCol w:w="253"/>
        <w:gridCol w:w="570"/>
        <w:gridCol w:w="115"/>
        <w:gridCol w:w="1395"/>
      </w:tblGrid>
      <w:tr w:rsidR="00761DDB" w:rsidRPr="0035451F" w14:paraId="055597A7" w14:textId="77777777" w:rsidTr="00447605">
        <w:trPr>
          <w:trHeight w:val="1611"/>
          <w:jc w:val="center"/>
        </w:trPr>
        <w:tc>
          <w:tcPr>
            <w:tcW w:w="6628" w:type="dxa"/>
            <w:gridSpan w:val="15"/>
          </w:tcPr>
          <w:p w14:paraId="130363B3" w14:textId="307ECE2B" w:rsidR="00761DDB" w:rsidRPr="0023040F" w:rsidRDefault="00761DDB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23040F">
              <w:rPr>
                <w:rFonts w:ascii="Times New Roman" w:hAnsi="Times New Roman"/>
                <w:b/>
                <w:color w:val="000000"/>
              </w:rPr>
              <w:t>Nazwa projektu</w:t>
            </w:r>
            <w:r w:rsidR="00746F4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7C56F2E3" w14:textId="078E3E9D" w:rsidR="00770204" w:rsidRDefault="00264BF5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</w:t>
            </w:r>
            <w:r w:rsidRPr="00264BF5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D04E43" w:rsidRPr="00D04E43">
              <w:rPr>
                <w:rFonts w:ascii="Times New Roman" w:hAnsi="Times New Roman"/>
                <w:color w:val="000000"/>
              </w:rPr>
              <w:t xml:space="preserve">w sprawie </w:t>
            </w:r>
            <w:r w:rsidR="004210B2" w:rsidRPr="004210B2">
              <w:rPr>
                <w:rFonts w:ascii="Times New Roman" w:hAnsi="Times New Roman"/>
                <w:color w:val="000000"/>
              </w:rPr>
              <w:t xml:space="preserve">programu pilotażowego opieki nad świadczeniobiorcą w ramach sieci onkologicznej </w:t>
            </w:r>
          </w:p>
          <w:p w14:paraId="7704AF46" w14:textId="77777777" w:rsidR="004210B2" w:rsidRPr="0023040F" w:rsidRDefault="004210B2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bookmarkEnd w:id="0"/>
          <w:p w14:paraId="2D3A09AA" w14:textId="2E3EBC40" w:rsidR="00761DDB" w:rsidRPr="0023040F" w:rsidRDefault="00761DDB" w:rsidP="0087437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040F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p w14:paraId="26918A96" w14:textId="2AE2AED7" w:rsidR="00761DDB" w:rsidRDefault="00264BF5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387E6F70" w14:textId="555A3476" w:rsidR="007513E6" w:rsidRPr="0023040F" w:rsidRDefault="007513E6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585F872" w14:textId="68DF284F" w:rsidR="00761DDB" w:rsidRPr="0023040F" w:rsidRDefault="00761DDB" w:rsidP="0087437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3040F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5F9928AB" w14:textId="5A08AFC7" w:rsidR="00761DDB" w:rsidRPr="0023040F" w:rsidRDefault="004210B2" w:rsidP="00874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 </w:t>
            </w:r>
            <w:r w:rsidR="00770204">
              <w:rPr>
                <w:rFonts w:ascii="Times New Roman" w:hAnsi="Times New Roman"/>
              </w:rPr>
              <w:t>Sławomir Gadomski</w:t>
            </w:r>
            <w:r w:rsidR="004745BE" w:rsidRPr="0023040F">
              <w:rPr>
                <w:rFonts w:ascii="Times New Roman" w:hAnsi="Times New Roman"/>
              </w:rPr>
              <w:t>,</w:t>
            </w:r>
            <w:r w:rsidR="000742A1">
              <w:rPr>
                <w:rFonts w:ascii="Times New Roman" w:hAnsi="Times New Roman"/>
              </w:rPr>
              <w:t xml:space="preserve"> Pods</w:t>
            </w:r>
            <w:r w:rsidR="00761DDB" w:rsidRPr="0023040F">
              <w:rPr>
                <w:rFonts w:ascii="Times New Roman" w:hAnsi="Times New Roman"/>
              </w:rPr>
              <w:t>ekretarz Stanu w Ministerstwie Zdrowia</w:t>
            </w:r>
          </w:p>
          <w:p w14:paraId="11BA209C" w14:textId="516F9341" w:rsidR="00761DDB" w:rsidRPr="0023040F" w:rsidRDefault="00761DDB" w:rsidP="0087437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2C81B725" w14:textId="173E21E1" w:rsidR="00761DDB" w:rsidRPr="0023040F" w:rsidRDefault="00761DDB" w:rsidP="0087437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040F">
              <w:rPr>
                <w:rFonts w:ascii="Times New Roman" w:hAnsi="Times New Roman"/>
                <w:b/>
                <w:color w:val="000000"/>
              </w:rPr>
              <w:t xml:space="preserve">Kontakt do </w:t>
            </w:r>
            <w:r w:rsidR="00B54AAC">
              <w:rPr>
                <w:rFonts w:ascii="Times New Roman" w:hAnsi="Times New Roman"/>
                <w:b/>
                <w:color w:val="000000"/>
              </w:rPr>
              <w:t>opiekunów</w:t>
            </w:r>
            <w:r w:rsidRPr="0023040F">
              <w:rPr>
                <w:rFonts w:ascii="Times New Roman" w:hAnsi="Times New Roman"/>
                <w:b/>
                <w:color w:val="000000"/>
              </w:rPr>
              <w:t xml:space="preserve"> merytoryczn</w:t>
            </w:r>
            <w:r w:rsidR="00B54AAC">
              <w:rPr>
                <w:rFonts w:ascii="Times New Roman" w:hAnsi="Times New Roman"/>
                <w:b/>
                <w:color w:val="000000"/>
              </w:rPr>
              <w:t>ych</w:t>
            </w:r>
            <w:r w:rsidRPr="0023040F">
              <w:rPr>
                <w:rFonts w:ascii="Times New Roman" w:hAnsi="Times New Roman"/>
                <w:b/>
                <w:color w:val="000000"/>
              </w:rPr>
              <w:t xml:space="preserve"> projektu:</w:t>
            </w:r>
          </w:p>
          <w:p w14:paraId="6B059856" w14:textId="7B1EA183" w:rsidR="00761DDB" w:rsidRPr="0023040F" w:rsidRDefault="005A32A2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Pani Beata Rorant,</w:t>
            </w:r>
            <w:r w:rsidR="004210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Dyrektor Departamentu </w:t>
            </w:r>
            <w:r w:rsidR="00770204">
              <w:rPr>
                <w:rFonts w:ascii="Times New Roman" w:hAnsi="Times New Roman"/>
                <w:color w:val="000000"/>
              </w:rPr>
              <w:t>Organizacji Ochrony Zdrowia</w:t>
            </w:r>
            <w:r w:rsidR="00761DDB" w:rsidRPr="0023040F">
              <w:rPr>
                <w:rFonts w:ascii="Times New Roman" w:hAnsi="Times New Roman"/>
                <w:color w:val="000000"/>
              </w:rPr>
              <w:t xml:space="preserve"> </w:t>
            </w:r>
            <w:r w:rsidR="003D40B4" w:rsidRPr="0023040F">
              <w:rPr>
                <w:rFonts w:ascii="Times New Roman" w:hAnsi="Times New Roman"/>
                <w:color w:val="000000"/>
              </w:rPr>
              <w:t>w Ministerstwie</w:t>
            </w:r>
            <w:r w:rsidR="00761DDB" w:rsidRPr="0023040F">
              <w:rPr>
                <w:rFonts w:ascii="Times New Roman" w:hAnsi="Times New Roman"/>
                <w:color w:val="000000"/>
              </w:rPr>
              <w:t xml:space="preserve"> Zdrowia </w:t>
            </w:r>
          </w:p>
          <w:p w14:paraId="50B1F874" w14:textId="4E6260ED" w:rsidR="008C0246" w:rsidRPr="006B11E9" w:rsidRDefault="004210B2" w:rsidP="0087437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B11E9">
              <w:rPr>
                <w:rFonts w:ascii="Times New Roman" w:hAnsi="Times New Roman"/>
                <w:color w:val="000000"/>
                <w:lang w:val="en-US"/>
              </w:rPr>
              <w:t>tel.</w:t>
            </w:r>
            <w:r w:rsidR="00761DDB" w:rsidRPr="006B11E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6B11E9" w:rsidRPr="006B11E9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="00F911E0" w:rsidRPr="006B11E9">
              <w:rPr>
                <w:rFonts w:ascii="Times New Roman" w:hAnsi="Times New Roman"/>
                <w:color w:val="000000"/>
                <w:lang w:val="en-US"/>
              </w:rPr>
              <w:t>22</w:t>
            </w:r>
            <w:r w:rsidR="006B11E9" w:rsidRPr="006B11E9">
              <w:rPr>
                <w:rFonts w:ascii="Times New Roman" w:hAnsi="Times New Roman"/>
                <w:color w:val="000000"/>
                <w:lang w:val="en-US"/>
              </w:rPr>
              <w:t>)</w:t>
            </w:r>
            <w:r w:rsidR="00F911E0" w:rsidRPr="006B11E9">
              <w:rPr>
                <w:rFonts w:ascii="Times New Roman" w:hAnsi="Times New Roman"/>
                <w:color w:val="000000"/>
                <w:lang w:val="en-US"/>
              </w:rPr>
              <w:t xml:space="preserve"> 63 49</w:t>
            </w:r>
            <w:r w:rsidR="006B11E9" w:rsidRPr="006B11E9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F911E0" w:rsidRPr="006B11E9">
              <w:rPr>
                <w:rFonts w:ascii="Times New Roman" w:hAnsi="Times New Roman"/>
                <w:color w:val="000000"/>
                <w:lang w:val="en-US"/>
              </w:rPr>
              <w:t>277</w:t>
            </w:r>
            <w:r w:rsidR="006B11E9" w:rsidRPr="006B11E9">
              <w:rPr>
                <w:rFonts w:ascii="Times New Roman" w:hAnsi="Times New Roman"/>
                <w:color w:val="000000"/>
                <w:lang w:val="en-US"/>
              </w:rPr>
              <w:t xml:space="preserve">, e-mail: </w:t>
            </w:r>
            <w:hyperlink r:id="rId9" w:history="1">
              <w:r w:rsidR="006B11E9" w:rsidRPr="006B11E9">
                <w:rPr>
                  <w:rStyle w:val="Hipercze"/>
                  <w:rFonts w:ascii="Times New Roman" w:hAnsi="Times New Roman"/>
                  <w:lang w:val="en-US"/>
                </w:rPr>
                <w:t>dep-oz@mz.gov.pl</w:t>
              </w:r>
            </w:hyperlink>
            <w:r w:rsidR="006B11E9" w:rsidRPr="006B11E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282" w:type="dxa"/>
            <w:gridSpan w:val="12"/>
            <w:shd w:val="clear" w:color="auto" w:fill="FFFFFF"/>
          </w:tcPr>
          <w:p w14:paraId="5695527B" w14:textId="77777777" w:rsidR="00761DDB" w:rsidRPr="0023040F" w:rsidRDefault="00761DDB" w:rsidP="0087437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3040F">
              <w:rPr>
                <w:rFonts w:ascii="Times New Roman" w:hAnsi="Times New Roman"/>
                <w:b/>
              </w:rPr>
              <w:t>Data sporządzenia:</w:t>
            </w:r>
          </w:p>
          <w:p w14:paraId="398A1871" w14:textId="7BA43F97" w:rsidR="0023040F" w:rsidRDefault="00874376" w:rsidP="00874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A32A2">
              <w:rPr>
                <w:rFonts w:ascii="Times New Roman" w:hAnsi="Times New Roman"/>
              </w:rPr>
              <w:t>.</w:t>
            </w:r>
            <w:r w:rsidR="00BF29BB">
              <w:rPr>
                <w:rFonts w:ascii="Times New Roman" w:hAnsi="Times New Roman"/>
              </w:rPr>
              <w:t>1</w:t>
            </w:r>
            <w:r w:rsidR="00770204">
              <w:rPr>
                <w:rFonts w:ascii="Times New Roman" w:hAnsi="Times New Roman"/>
              </w:rPr>
              <w:t>0</w:t>
            </w:r>
            <w:r w:rsidR="00761DDB" w:rsidRPr="0023040F">
              <w:rPr>
                <w:rFonts w:ascii="Times New Roman" w:hAnsi="Times New Roman"/>
              </w:rPr>
              <w:t>.201</w:t>
            </w:r>
            <w:r w:rsidR="00A473F6">
              <w:rPr>
                <w:rFonts w:ascii="Times New Roman" w:hAnsi="Times New Roman"/>
              </w:rPr>
              <w:t>8</w:t>
            </w:r>
            <w:r w:rsidR="00761DDB" w:rsidRPr="0023040F">
              <w:rPr>
                <w:rFonts w:ascii="Times New Roman" w:hAnsi="Times New Roman"/>
              </w:rPr>
              <w:t xml:space="preserve"> r.</w:t>
            </w:r>
          </w:p>
          <w:p w14:paraId="01D88624" w14:textId="77777777" w:rsidR="00761DDB" w:rsidRPr="0023040F" w:rsidRDefault="00761DDB" w:rsidP="0087437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0EA557C" w14:textId="77777777" w:rsidR="00874376" w:rsidRDefault="00761DDB" w:rsidP="0087437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2" w:name="Lista1"/>
            <w:r w:rsidRPr="0023040F">
              <w:rPr>
                <w:rFonts w:ascii="Times New Roman" w:hAnsi="Times New Roman"/>
                <w:b/>
              </w:rPr>
              <w:t>Źródło:</w:t>
            </w:r>
            <w:bookmarkEnd w:id="2"/>
            <w:r w:rsidR="00632985">
              <w:rPr>
                <w:rFonts w:ascii="Times New Roman" w:hAnsi="Times New Roman"/>
                <w:b/>
              </w:rPr>
              <w:t xml:space="preserve"> </w:t>
            </w:r>
          </w:p>
          <w:p w14:paraId="56E3E540" w14:textId="38DE258D" w:rsidR="000742A1" w:rsidRPr="00632985" w:rsidRDefault="009D5772" w:rsidP="0087437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D5772">
              <w:rPr>
                <w:rFonts w:ascii="Times New Roman" w:hAnsi="Times New Roman"/>
                <w:szCs w:val="24"/>
              </w:rPr>
              <w:t xml:space="preserve">art. 48e ust. 5 ustawy z dnia </w:t>
            </w:r>
            <w:r w:rsidR="00632985">
              <w:rPr>
                <w:rFonts w:ascii="Times New Roman" w:hAnsi="Times New Roman"/>
                <w:szCs w:val="24"/>
              </w:rPr>
              <w:br/>
            </w:r>
            <w:r w:rsidRPr="009D5772">
              <w:rPr>
                <w:rFonts w:ascii="Times New Roman" w:hAnsi="Times New Roman"/>
                <w:szCs w:val="24"/>
              </w:rPr>
              <w:t xml:space="preserve">27 sierpnia 2004 r. o świadczeniach </w:t>
            </w:r>
            <w:r w:rsidR="00632985">
              <w:rPr>
                <w:rFonts w:ascii="Times New Roman" w:hAnsi="Times New Roman"/>
                <w:szCs w:val="24"/>
              </w:rPr>
              <w:br/>
            </w:r>
            <w:r w:rsidRPr="009D5772">
              <w:rPr>
                <w:rFonts w:ascii="Times New Roman" w:hAnsi="Times New Roman"/>
                <w:szCs w:val="24"/>
              </w:rPr>
              <w:t>opieki zdrowotnej finansowanych ze środków publicznych (Dz. U. z 2018 r. poz. 1510,</w:t>
            </w:r>
            <w:r w:rsidR="00451632">
              <w:rPr>
                <w:rFonts w:ascii="Times New Roman" w:hAnsi="Times New Roman"/>
                <w:szCs w:val="24"/>
              </w:rPr>
              <w:t xml:space="preserve"> </w:t>
            </w:r>
            <w:r w:rsidR="00632985">
              <w:rPr>
                <w:rFonts w:ascii="Times New Roman" w:hAnsi="Times New Roman"/>
                <w:szCs w:val="24"/>
              </w:rPr>
              <w:br/>
            </w:r>
            <w:r w:rsidR="00451632">
              <w:rPr>
                <w:rFonts w:ascii="Times New Roman" w:hAnsi="Times New Roman"/>
                <w:szCs w:val="24"/>
              </w:rPr>
              <w:t>z późn. zm.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14:paraId="392B270A" w14:textId="77777777" w:rsidR="004210B2" w:rsidRDefault="004210B2" w:rsidP="0087437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7FDEA0F6" w14:textId="77777777" w:rsidR="00761DDB" w:rsidRDefault="00761DDB" w:rsidP="0087437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040F">
              <w:rPr>
                <w:rFonts w:ascii="Times New Roman" w:hAnsi="Times New Roman"/>
                <w:b/>
                <w:color w:val="000000"/>
              </w:rPr>
              <w:t xml:space="preserve">Nr w wykazie prac legislacyjnych Ministra Zdrowia: </w:t>
            </w:r>
          </w:p>
          <w:p w14:paraId="1AD1FFF8" w14:textId="2F2D3878" w:rsidR="00A732D7" w:rsidRPr="00A732D7" w:rsidRDefault="00B857CF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MZ</w:t>
            </w:r>
            <w:r w:rsidR="006B11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691</w:t>
            </w:r>
          </w:p>
        </w:tc>
      </w:tr>
      <w:tr w:rsidR="00761DDB" w:rsidRPr="0035451F" w14:paraId="1987AFD5" w14:textId="77777777" w:rsidTr="00DD7E8A">
        <w:trPr>
          <w:trHeight w:val="142"/>
          <w:jc w:val="center"/>
        </w:trPr>
        <w:tc>
          <w:tcPr>
            <w:tcW w:w="10910" w:type="dxa"/>
            <w:gridSpan w:val="27"/>
            <w:shd w:val="clear" w:color="auto" w:fill="99CCFF"/>
          </w:tcPr>
          <w:p w14:paraId="3FA78AE1" w14:textId="77777777" w:rsidR="00761DDB" w:rsidRPr="0035451F" w:rsidRDefault="00761DDB" w:rsidP="00874376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5451F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761DDB" w:rsidRPr="0035451F" w14:paraId="66A0218B" w14:textId="77777777" w:rsidTr="00DD7E8A">
        <w:trPr>
          <w:trHeight w:val="175"/>
          <w:jc w:val="center"/>
        </w:trPr>
        <w:tc>
          <w:tcPr>
            <w:tcW w:w="10910" w:type="dxa"/>
            <w:gridSpan w:val="27"/>
            <w:shd w:val="clear" w:color="auto" w:fill="99CCFF"/>
            <w:vAlign w:val="center"/>
          </w:tcPr>
          <w:p w14:paraId="05714CE8" w14:textId="77777777" w:rsidR="00761DDB" w:rsidRPr="0035451F" w:rsidRDefault="00761DDB" w:rsidP="0087437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761DDB" w:rsidRPr="0035451F" w14:paraId="1436B29D" w14:textId="77777777" w:rsidTr="00620591">
        <w:trPr>
          <w:trHeight w:val="2094"/>
          <w:jc w:val="center"/>
        </w:trPr>
        <w:tc>
          <w:tcPr>
            <w:tcW w:w="10910" w:type="dxa"/>
            <w:gridSpan w:val="27"/>
            <w:shd w:val="clear" w:color="auto" w:fill="FFFFFF"/>
          </w:tcPr>
          <w:p w14:paraId="276CCE65" w14:textId="1946FC59" w:rsidR="004210B2" w:rsidRPr="004210B2" w:rsidRDefault="00790E6E" w:rsidP="00874376">
            <w:pPr>
              <w:pStyle w:val="TYTUAKTUprzedmiotregulacjiustawylubrozporzdzenia"/>
              <w:spacing w:before="0" w:after="0" w:line="240" w:lineRule="auto"/>
              <w:jc w:val="both"/>
            </w:pPr>
            <w:r w:rsidRPr="00790E6E">
              <w:rPr>
                <w:rFonts w:ascii="Times New Roman" w:hAnsi="Times New Roman"/>
                <w:b w:val="0"/>
                <w:sz w:val="22"/>
                <w:szCs w:val="22"/>
              </w:rPr>
              <w:t xml:space="preserve">Projekt rozporządzenia Ministra Zdrowia w sprawie </w:t>
            </w:r>
            <w:r w:rsidR="004210B2" w:rsidRPr="004210B2">
              <w:rPr>
                <w:rFonts w:ascii="Times New Roman" w:hAnsi="Times New Roman"/>
                <w:b w:val="0"/>
                <w:sz w:val="22"/>
                <w:szCs w:val="22"/>
              </w:rPr>
              <w:t>programu pilotażowego opieki nad świadczeniobiorcą w ramach sieci onkologicznej</w:t>
            </w:r>
            <w:r w:rsidR="004210B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90E6E">
              <w:rPr>
                <w:rFonts w:ascii="Times New Roman" w:hAnsi="Times New Roman"/>
                <w:b w:val="0"/>
                <w:sz w:val="22"/>
                <w:szCs w:val="22"/>
              </w:rPr>
              <w:t>stanowi wykonanie fakultatywnego upoważnienia dla ministra właściwego do spraw zdrowia, zawartego w art. 48e ust. 5 ustawy z dnia 27 sierpnia 2004 r. o świadczeniach opieki zdrowotnej finansowanych ze środków publicznych.</w:t>
            </w:r>
            <w:r w:rsidR="005A32A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90E6E">
              <w:rPr>
                <w:rFonts w:ascii="Times New Roman" w:hAnsi="Times New Roman"/>
                <w:b w:val="0"/>
                <w:sz w:val="22"/>
                <w:szCs w:val="22"/>
              </w:rPr>
              <w:t xml:space="preserve">Projektowane rozporządzenie określa program pilotażowy, zwany dalej „pilotażem”, którego celem jest </w:t>
            </w:r>
            <w:r w:rsidR="004210B2" w:rsidRPr="004210B2">
              <w:rPr>
                <w:rFonts w:ascii="Times New Roman" w:hAnsi="Times New Roman"/>
                <w:b w:val="0"/>
                <w:sz w:val="22"/>
                <w:szCs w:val="22"/>
              </w:rPr>
              <w:t>ocena organizacji, jakości i efektów opieki onkologicznej w ramach sieci onkologicznej na terenie wybranych województw</w:t>
            </w:r>
            <w:r w:rsidR="005A32A2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790E6E">
              <w:rPr>
                <w:rFonts w:ascii="Times New Roman" w:hAnsi="Times New Roman"/>
                <w:b w:val="0"/>
                <w:sz w:val="22"/>
                <w:szCs w:val="22"/>
              </w:rPr>
              <w:t>Rozwiązania organizacyjne zaproponowane w rozporządzeniu przygotowane zostały w oparciu o założenia dokumentu pt. „Koncepcja Organizacji i Funkcjonowania Krajowej Sieci Onkologicznej”, opracowanego przez zespół ekspercki powołany zarządzeniem Ministra Zdrowia z dnia 8 marca 2018 r. (Dz. Urz. Min. Zdr</w:t>
            </w:r>
            <w:r w:rsidR="00620591">
              <w:rPr>
                <w:rFonts w:ascii="Times New Roman" w:hAnsi="Times New Roman"/>
                <w:b w:val="0"/>
                <w:sz w:val="22"/>
                <w:szCs w:val="22"/>
              </w:rPr>
              <w:t>ow</w:t>
            </w:r>
            <w:r w:rsidRPr="00790E6E">
              <w:rPr>
                <w:rFonts w:ascii="Times New Roman" w:hAnsi="Times New Roman"/>
                <w:b w:val="0"/>
                <w:sz w:val="22"/>
                <w:szCs w:val="22"/>
              </w:rPr>
              <w:t xml:space="preserve">. poz. 18). </w:t>
            </w:r>
          </w:p>
        </w:tc>
      </w:tr>
      <w:tr w:rsidR="00761DDB" w:rsidRPr="0035451F" w14:paraId="689A0C3B" w14:textId="77777777" w:rsidTr="00DD7E8A">
        <w:trPr>
          <w:trHeight w:val="142"/>
          <w:jc w:val="center"/>
        </w:trPr>
        <w:tc>
          <w:tcPr>
            <w:tcW w:w="10910" w:type="dxa"/>
            <w:gridSpan w:val="27"/>
            <w:shd w:val="clear" w:color="auto" w:fill="99CCFF"/>
            <w:vAlign w:val="center"/>
          </w:tcPr>
          <w:p w14:paraId="116EF42D" w14:textId="77777777" w:rsidR="00761DDB" w:rsidRPr="0035451F" w:rsidRDefault="00B54AAC" w:rsidP="0087437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Rekomendowane rozwiąza</w:t>
            </w:r>
            <w:r w:rsidR="00761DDB" w:rsidRPr="0035451F">
              <w:rPr>
                <w:rFonts w:ascii="Times New Roman" w:hAnsi="Times New Roman"/>
                <w:b/>
                <w:color w:val="000000"/>
                <w:spacing w:val="-2"/>
              </w:rPr>
              <w:t>nie, w tym planowane narzędzia interwencji, i oczekiwany efekt</w:t>
            </w:r>
          </w:p>
        </w:tc>
      </w:tr>
      <w:tr w:rsidR="00761DDB" w:rsidRPr="0035451F" w14:paraId="205F35AD" w14:textId="77777777" w:rsidTr="00DD7E8A">
        <w:trPr>
          <w:trHeight w:val="142"/>
          <w:jc w:val="center"/>
        </w:trPr>
        <w:tc>
          <w:tcPr>
            <w:tcW w:w="10910" w:type="dxa"/>
            <w:gridSpan w:val="27"/>
            <w:shd w:val="clear" w:color="auto" w:fill="auto"/>
          </w:tcPr>
          <w:p w14:paraId="5CD1CC98" w14:textId="2803DF65" w:rsidR="002C0FF9" w:rsidRDefault="002C0FF9" w:rsidP="00874376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90E6E">
              <w:rPr>
                <w:rFonts w:ascii="Times New Roman" w:hAnsi="Times New Roman"/>
                <w:b w:val="0"/>
                <w:sz w:val="22"/>
                <w:szCs w:val="22"/>
              </w:rPr>
              <w:t>W ramach pilotażu testowane i oceniane będą zasadność oraz skuteczność funkcjonowania modelu opartego na sieci ośrodków onkologicznych, zwanego dalej „siecią”.</w:t>
            </w:r>
            <w:r>
              <w:t xml:space="preserve"> </w:t>
            </w:r>
            <w:r w:rsidRPr="00790E6E">
              <w:rPr>
                <w:rFonts w:ascii="Times New Roman" w:hAnsi="Times New Roman"/>
                <w:b w:val="0"/>
                <w:sz w:val="22"/>
                <w:szCs w:val="22"/>
              </w:rPr>
              <w:t>W skład sieci wejdą wojewódzki ośrodek koordynując</w:t>
            </w:r>
            <w:r w:rsidR="00AC19C1">
              <w:rPr>
                <w:rFonts w:ascii="Times New Roman" w:hAnsi="Times New Roman"/>
                <w:b w:val="0"/>
                <w:sz w:val="22"/>
                <w:szCs w:val="22"/>
              </w:rPr>
              <w:t>y oraz ośrodki współpracujące I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i</w:t>
            </w:r>
            <w:r w:rsidRPr="00790E6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r w:rsidR="00AC19C1"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r w:rsidRPr="00790E6E">
              <w:rPr>
                <w:rFonts w:ascii="Times New Roman" w:hAnsi="Times New Roman"/>
                <w:b w:val="0"/>
                <w:sz w:val="22"/>
                <w:szCs w:val="22"/>
              </w:rPr>
              <w:t xml:space="preserve"> poziomu, których zadaniem będzie zapewnienie świadczeniobiorcy kompleksowej i skoordynowanej opieki onkologicznej w pięciu wybranych typach nowotworów złośliwych – nowotworze gruczołu krokowego, jajnika, jelita grubego, piersi i płuca (kody jednostek chorobowych według klasyfikacji ICD-10: C18-C20, C34, C50, C56, C61).</w:t>
            </w:r>
          </w:p>
          <w:p w14:paraId="2AD26F62" w14:textId="5CE92FC7" w:rsidR="004210B2" w:rsidRPr="004210B2" w:rsidRDefault="004210B2" w:rsidP="00874376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210B2">
              <w:rPr>
                <w:rFonts w:ascii="Times New Roman" w:hAnsi="Times New Roman"/>
                <w:b w:val="0"/>
                <w:sz w:val="22"/>
                <w:szCs w:val="22"/>
              </w:rPr>
              <w:t xml:space="preserve">Przyjmuje się, że pilotaż </w:t>
            </w:r>
            <w:r w:rsidR="00BF29BB" w:rsidRPr="004210B2">
              <w:rPr>
                <w:rFonts w:ascii="Times New Roman" w:hAnsi="Times New Roman"/>
                <w:b w:val="0"/>
                <w:sz w:val="22"/>
                <w:szCs w:val="22"/>
              </w:rPr>
              <w:t xml:space="preserve">będzie </w:t>
            </w:r>
            <w:r w:rsidRPr="004210B2">
              <w:rPr>
                <w:rFonts w:ascii="Times New Roman" w:hAnsi="Times New Roman"/>
                <w:b w:val="0"/>
                <w:sz w:val="22"/>
                <w:szCs w:val="22"/>
              </w:rPr>
              <w:t xml:space="preserve">realizowany dwuetapowo. Pierwszy etap </w:t>
            </w:r>
            <w:r w:rsidR="00BF29BB" w:rsidRPr="004210B2">
              <w:rPr>
                <w:rFonts w:ascii="Times New Roman" w:hAnsi="Times New Roman"/>
                <w:b w:val="0"/>
                <w:sz w:val="22"/>
                <w:szCs w:val="22"/>
              </w:rPr>
              <w:t xml:space="preserve">będzie </w:t>
            </w:r>
            <w:r w:rsidRPr="004210B2">
              <w:rPr>
                <w:rFonts w:ascii="Times New Roman" w:hAnsi="Times New Roman"/>
                <w:b w:val="0"/>
                <w:sz w:val="22"/>
                <w:szCs w:val="22"/>
              </w:rPr>
              <w:t>reali</w:t>
            </w:r>
            <w:r w:rsidR="006B11E9">
              <w:rPr>
                <w:rFonts w:ascii="Times New Roman" w:hAnsi="Times New Roman"/>
                <w:b w:val="0"/>
                <w:sz w:val="22"/>
                <w:szCs w:val="22"/>
              </w:rPr>
              <w:t xml:space="preserve">zowany w okresie od 1 grudnia </w:t>
            </w:r>
            <w:r w:rsidR="006B11E9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4210B2">
              <w:rPr>
                <w:rFonts w:ascii="Times New Roman" w:hAnsi="Times New Roman"/>
                <w:b w:val="0"/>
                <w:sz w:val="22"/>
                <w:szCs w:val="22"/>
              </w:rPr>
              <w:t xml:space="preserve">2018 r. do </w:t>
            </w:r>
            <w:r w:rsidR="006B11E9">
              <w:rPr>
                <w:rFonts w:ascii="Times New Roman" w:hAnsi="Times New Roman"/>
                <w:b w:val="0"/>
                <w:sz w:val="22"/>
                <w:szCs w:val="22"/>
              </w:rPr>
              <w:t xml:space="preserve">31 maja </w:t>
            </w:r>
            <w:r w:rsidRPr="004210B2">
              <w:rPr>
                <w:rFonts w:ascii="Times New Roman" w:hAnsi="Times New Roman"/>
                <w:b w:val="0"/>
                <w:sz w:val="22"/>
                <w:szCs w:val="22"/>
              </w:rPr>
              <w:t xml:space="preserve">2020 r.  na terenie województw dolnośląskiego i świętokrzyskiego. W pierwszym kwartale 2019 r. planowane jest rozszerzenie pilotażu o dwa kolejne województwa. Za wyborem województw dolnośląskiego </w:t>
            </w:r>
            <w:r w:rsidR="00356E31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4210B2">
              <w:rPr>
                <w:rFonts w:ascii="Times New Roman" w:hAnsi="Times New Roman"/>
                <w:b w:val="0"/>
                <w:sz w:val="22"/>
                <w:szCs w:val="22"/>
              </w:rPr>
              <w:t xml:space="preserve">i świętokrzyskiego przemawiały zróżnicowana liczba i rozmieszczenie ludności oraz struktura świadczeniodawców </w:t>
            </w:r>
            <w:r w:rsidR="00356E31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4210B2">
              <w:rPr>
                <w:rFonts w:ascii="Times New Roman" w:hAnsi="Times New Roman"/>
                <w:b w:val="0"/>
                <w:sz w:val="22"/>
                <w:szCs w:val="22"/>
              </w:rPr>
              <w:t xml:space="preserve">i zapadalność na poszczególne typu nowotworów. Przyjęto, że półtoraroczny  okres realizacji pilotażu odpowiadać będzie minimalnemu </w:t>
            </w:r>
            <w:r w:rsidR="00BF29BB">
              <w:rPr>
                <w:rFonts w:ascii="Times New Roman" w:hAnsi="Times New Roman"/>
                <w:b w:val="0"/>
                <w:sz w:val="22"/>
                <w:szCs w:val="22"/>
              </w:rPr>
              <w:t>okresowi</w:t>
            </w:r>
            <w:r w:rsidR="00BF29BB" w:rsidRPr="004210B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210B2">
              <w:rPr>
                <w:rFonts w:ascii="Times New Roman" w:hAnsi="Times New Roman"/>
                <w:b w:val="0"/>
                <w:sz w:val="22"/>
                <w:szCs w:val="22"/>
              </w:rPr>
              <w:t xml:space="preserve">potrzebnemu do przeanalizowania ścieżki pacjenta onkologicznego od momentu rozpoznania nowotworu złośliwego do zakończenia terapii. Pomocne w tym zakresie będą mierzalne kryteria (mierniki), które dadzą możliwość obiektywnej oceny realizacji zamierzonych celów. </w:t>
            </w:r>
          </w:p>
          <w:p w14:paraId="7CFD66D7" w14:textId="69EC58A0" w:rsidR="004210B2" w:rsidRPr="008A6E0A" w:rsidRDefault="00D843A0" w:rsidP="00447605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D843A0">
              <w:rPr>
                <w:rFonts w:ascii="Times New Roman" w:hAnsi="Times New Roman"/>
              </w:rPr>
              <w:t>Oczekiwanym efektem programu pilotażowego jest poprawa bezpieczeństwa i jakości leczenia onkologicznego, poprawa satysfakcji pacjenta oraz optymalizacja kosztowa opieki onkologicznej.</w:t>
            </w:r>
          </w:p>
        </w:tc>
      </w:tr>
      <w:tr w:rsidR="00761DDB" w:rsidRPr="0035451F" w14:paraId="766F200B" w14:textId="77777777" w:rsidTr="00DD7E8A">
        <w:trPr>
          <w:trHeight w:val="307"/>
          <w:jc w:val="center"/>
        </w:trPr>
        <w:tc>
          <w:tcPr>
            <w:tcW w:w="10910" w:type="dxa"/>
            <w:gridSpan w:val="27"/>
            <w:shd w:val="clear" w:color="auto" w:fill="99CCFF"/>
            <w:vAlign w:val="center"/>
          </w:tcPr>
          <w:p w14:paraId="7F9AF327" w14:textId="77777777" w:rsidR="00761DDB" w:rsidRPr="008A6E0A" w:rsidRDefault="00761DDB" w:rsidP="0087437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A6E0A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8A6E0A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761DDB" w:rsidRPr="0035451F" w14:paraId="00980A8F" w14:textId="77777777" w:rsidTr="006B11E9">
        <w:trPr>
          <w:trHeight w:val="1551"/>
          <w:jc w:val="center"/>
        </w:trPr>
        <w:tc>
          <w:tcPr>
            <w:tcW w:w="10910" w:type="dxa"/>
            <w:gridSpan w:val="27"/>
            <w:shd w:val="clear" w:color="auto" w:fill="auto"/>
            <w:vAlign w:val="center"/>
          </w:tcPr>
          <w:p w14:paraId="202D3006" w14:textId="75315804" w:rsidR="00220236" w:rsidRPr="004210B2" w:rsidRDefault="0030096F" w:rsidP="00874376">
            <w:pPr>
              <w:spacing w:line="240" w:lineRule="auto"/>
              <w:jc w:val="both"/>
            </w:pPr>
            <w:r w:rsidRPr="0030096F">
              <w:rPr>
                <w:rFonts w:ascii="Times New Roman" w:hAnsi="Times New Roman"/>
                <w:color w:val="000000"/>
                <w:spacing w:val="-2"/>
              </w:rPr>
              <w:t xml:space="preserve">System koordynowanej i kompleksowej opieki onkologicznej od dawna funkcjonuje w innych krajach rozwiniętych, </w:t>
            </w:r>
            <w:r w:rsidR="005F06FB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30096F">
              <w:rPr>
                <w:rFonts w:ascii="Times New Roman" w:hAnsi="Times New Roman"/>
                <w:color w:val="000000"/>
                <w:spacing w:val="-2"/>
              </w:rPr>
              <w:t xml:space="preserve">jak np. w Australii, Francji czy Holandii. Ich doświadczenia pokazały, że współpraca jest daleko lepszą metodą organizacji systemu </w:t>
            </w:r>
            <w:r w:rsidR="002C0FF9">
              <w:rPr>
                <w:rFonts w:ascii="Times New Roman" w:hAnsi="Times New Roman"/>
                <w:color w:val="000000"/>
                <w:spacing w:val="-2"/>
              </w:rPr>
              <w:t xml:space="preserve">opieki onkologicznej </w:t>
            </w:r>
            <w:r w:rsidRPr="0030096F">
              <w:rPr>
                <w:rFonts w:ascii="Times New Roman" w:hAnsi="Times New Roman"/>
                <w:color w:val="000000"/>
                <w:spacing w:val="-2"/>
              </w:rPr>
              <w:t xml:space="preserve">niż nie uporządkowana konkurencja i nie prowadzi do wykluczenia świadczeniodawców, </w:t>
            </w:r>
            <w:r w:rsidR="00356E31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30096F">
              <w:rPr>
                <w:rFonts w:ascii="Times New Roman" w:hAnsi="Times New Roman"/>
                <w:color w:val="000000"/>
                <w:spacing w:val="-2"/>
              </w:rPr>
              <w:t>ale znacząco przyczynia się do poprawy wyników leczenia, zmniejszenia liczby powikłań, zwiększenia efektywności kosztowej, a także do uzyskania ciągłości i komplementarności ścieżki pacjenta onkologicznego.</w:t>
            </w:r>
            <w:r>
              <w:t xml:space="preserve"> </w:t>
            </w:r>
          </w:p>
        </w:tc>
      </w:tr>
      <w:tr w:rsidR="00761DDB" w:rsidRPr="0035451F" w14:paraId="33FA2078" w14:textId="77777777" w:rsidTr="00DD7E8A">
        <w:trPr>
          <w:trHeight w:val="359"/>
          <w:jc w:val="center"/>
        </w:trPr>
        <w:tc>
          <w:tcPr>
            <w:tcW w:w="10910" w:type="dxa"/>
            <w:gridSpan w:val="27"/>
            <w:shd w:val="clear" w:color="auto" w:fill="99CCFF"/>
            <w:vAlign w:val="center"/>
          </w:tcPr>
          <w:p w14:paraId="63D9C226" w14:textId="77777777" w:rsidR="00761DDB" w:rsidRPr="0035451F" w:rsidRDefault="00761DDB" w:rsidP="0087437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61DDB" w:rsidRPr="0035451F" w14:paraId="0840A2B9" w14:textId="77777777" w:rsidTr="00447605">
        <w:trPr>
          <w:trHeight w:val="142"/>
          <w:jc w:val="center"/>
        </w:trPr>
        <w:tc>
          <w:tcPr>
            <w:tcW w:w="2921" w:type="dxa"/>
            <w:gridSpan w:val="3"/>
            <w:shd w:val="clear" w:color="auto" w:fill="auto"/>
          </w:tcPr>
          <w:p w14:paraId="1DBC79C8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036" w:type="dxa"/>
            <w:gridSpan w:val="6"/>
            <w:shd w:val="clear" w:color="auto" w:fill="auto"/>
          </w:tcPr>
          <w:p w14:paraId="6298AD7E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644B1B0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57" w:type="dxa"/>
            <w:gridSpan w:val="6"/>
            <w:shd w:val="clear" w:color="auto" w:fill="auto"/>
          </w:tcPr>
          <w:p w14:paraId="64616A87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61DDB" w:rsidRPr="0035451F" w14:paraId="32098BB7" w14:textId="77777777" w:rsidTr="00447605">
        <w:trPr>
          <w:trHeight w:val="1504"/>
          <w:jc w:val="center"/>
        </w:trPr>
        <w:tc>
          <w:tcPr>
            <w:tcW w:w="2921" w:type="dxa"/>
            <w:gridSpan w:val="3"/>
            <w:shd w:val="clear" w:color="auto" w:fill="auto"/>
            <w:vAlign w:val="center"/>
          </w:tcPr>
          <w:p w14:paraId="32AF5957" w14:textId="14400F21" w:rsidR="00761DDB" w:rsidRPr="00F57E66" w:rsidRDefault="002C0FF9" w:rsidP="00874376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Świadczeniobiorcy, którzy mogą zostać objęci</w:t>
            </w:r>
            <w:r w:rsidR="004210B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pilotażem</w:t>
            </w:r>
          </w:p>
        </w:tc>
        <w:tc>
          <w:tcPr>
            <w:tcW w:w="2036" w:type="dxa"/>
            <w:gridSpan w:val="6"/>
            <w:shd w:val="clear" w:color="auto" w:fill="auto"/>
            <w:vAlign w:val="center"/>
          </w:tcPr>
          <w:p w14:paraId="0C03390C" w14:textId="72F10D0D" w:rsidR="00761DDB" w:rsidRPr="0035451F" w:rsidRDefault="00340C22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Około </w:t>
            </w:r>
            <w:r w:rsidR="00146B6D">
              <w:rPr>
                <w:rFonts w:ascii="Times New Roman" w:hAnsi="Times New Roman"/>
                <w:color w:val="000000"/>
                <w:spacing w:val="-2"/>
              </w:rPr>
              <w:t>10,5</w:t>
            </w:r>
            <w:r w:rsidR="00881EF8">
              <w:rPr>
                <w:rFonts w:ascii="Times New Roman" w:hAnsi="Times New Roman"/>
                <w:color w:val="000000"/>
                <w:spacing w:val="-2"/>
              </w:rPr>
              <w:t xml:space="preserve"> tys. </w:t>
            </w:r>
            <w:r w:rsidR="002C0FF9">
              <w:rPr>
                <w:rFonts w:ascii="Times New Roman" w:hAnsi="Times New Roman"/>
                <w:color w:val="000000"/>
                <w:spacing w:val="-2"/>
              </w:rPr>
              <w:t xml:space="preserve">osób </w:t>
            </w:r>
            <w:r w:rsidR="00705333">
              <w:rPr>
                <w:rFonts w:ascii="Times New Roman" w:hAnsi="Times New Roman"/>
                <w:color w:val="000000"/>
                <w:spacing w:val="-2"/>
              </w:rPr>
              <w:t xml:space="preserve">z rozpoznaniami </w:t>
            </w:r>
            <w:r w:rsidR="004210B2">
              <w:rPr>
                <w:rFonts w:ascii="Times New Roman" w:hAnsi="Times New Roman"/>
                <w:color w:val="000000"/>
                <w:spacing w:val="-2"/>
              </w:rPr>
              <w:t xml:space="preserve">wg </w:t>
            </w:r>
            <w:r w:rsidR="00705333" w:rsidRPr="00705333">
              <w:rPr>
                <w:rFonts w:ascii="Times New Roman" w:hAnsi="Times New Roman"/>
                <w:color w:val="000000"/>
                <w:spacing w:val="-2"/>
              </w:rPr>
              <w:t>ICD-10: C18-C20, C34,</w:t>
            </w:r>
            <w:r w:rsidR="00705333">
              <w:rPr>
                <w:rFonts w:ascii="Times New Roman" w:hAnsi="Times New Roman"/>
                <w:color w:val="000000"/>
                <w:spacing w:val="-2"/>
              </w:rPr>
              <w:t xml:space="preserve"> C50, C56, C61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5FDDC59D" w14:textId="0092E277" w:rsidR="00D843A0" w:rsidRPr="0035451F" w:rsidRDefault="00340C22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Szacunek na podstawie </w:t>
            </w:r>
          </w:p>
          <w:p w14:paraId="72B03E0C" w14:textId="02E8DA28" w:rsidR="0014784F" w:rsidRPr="0035451F" w:rsidRDefault="00701E9C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analizy zapadalności </w:t>
            </w:r>
            <w:r w:rsidR="00EF384D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na nowotwory </w:t>
            </w:r>
            <w:r w:rsidR="004210B2">
              <w:rPr>
                <w:rFonts w:ascii="Times New Roman" w:hAnsi="Times New Roman"/>
                <w:color w:val="000000"/>
                <w:spacing w:val="-2"/>
              </w:rPr>
              <w:t xml:space="preserve">złośliwe </w:t>
            </w:r>
            <w:r w:rsidR="00EF384D">
              <w:rPr>
                <w:rFonts w:ascii="Times New Roman" w:hAnsi="Times New Roman"/>
                <w:color w:val="000000"/>
                <w:spacing w:val="-2"/>
              </w:rPr>
              <w:br/>
            </w:r>
            <w:r w:rsidR="004210B2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EF384D">
              <w:rPr>
                <w:rFonts w:ascii="Times New Roman" w:hAnsi="Times New Roman"/>
                <w:color w:val="000000"/>
                <w:spacing w:val="-2"/>
              </w:rPr>
              <w:t xml:space="preserve">województwach objętych pilotażem wg danych z </w:t>
            </w:r>
            <w:r>
              <w:rPr>
                <w:rFonts w:ascii="Times New Roman" w:hAnsi="Times New Roman"/>
                <w:color w:val="000000"/>
                <w:spacing w:val="-2"/>
              </w:rPr>
              <w:t>2016</w:t>
            </w:r>
            <w:r w:rsidR="004210B2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2957" w:type="dxa"/>
            <w:gridSpan w:val="6"/>
            <w:shd w:val="clear" w:color="auto" w:fill="auto"/>
            <w:vAlign w:val="center"/>
          </w:tcPr>
          <w:p w14:paraId="6B72E6B5" w14:textId="4DE5B839" w:rsidR="003603C4" w:rsidRPr="0035451F" w:rsidRDefault="00D843A0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D843A0">
              <w:rPr>
                <w:rFonts w:ascii="Times New Roman" w:hAnsi="Times New Roman"/>
                <w:color w:val="000000"/>
                <w:spacing w:val="-2"/>
              </w:rPr>
              <w:t xml:space="preserve">oprawa bezpieczeństwa </w:t>
            </w:r>
            <w:r w:rsidR="00451632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D843A0">
              <w:rPr>
                <w:rFonts w:ascii="Times New Roman" w:hAnsi="Times New Roman"/>
                <w:color w:val="000000"/>
                <w:spacing w:val="-2"/>
              </w:rPr>
              <w:t>i j</w:t>
            </w:r>
            <w:r w:rsidR="004210B2">
              <w:rPr>
                <w:rFonts w:ascii="Times New Roman" w:hAnsi="Times New Roman"/>
                <w:color w:val="000000"/>
                <w:spacing w:val="-2"/>
              </w:rPr>
              <w:t xml:space="preserve">akości leczenia onkologicznego oraz satysfakcji pacjenta </w:t>
            </w:r>
            <w:r w:rsidR="00451632">
              <w:rPr>
                <w:rFonts w:ascii="Times New Roman" w:hAnsi="Times New Roman"/>
                <w:color w:val="000000"/>
                <w:spacing w:val="-2"/>
              </w:rPr>
              <w:br/>
            </w:r>
            <w:r w:rsidR="004210B2">
              <w:rPr>
                <w:rFonts w:ascii="Times New Roman" w:hAnsi="Times New Roman"/>
                <w:color w:val="000000"/>
                <w:spacing w:val="-2"/>
              </w:rPr>
              <w:t>ze sprawowanej opieki</w:t>
            </w:r>
          </w:p>
        </w:tc>
      </w:tr>
      <w:tr w:rsidR="00705333" w:rsidRPr="0035451F" w14:paraId="62F4D5DF" w14:textId="77777777" w:rsidTr="00447605">
        <w:trPr>
          <w:trHeight w:val="1504"/>
          <w:jc w:val="center"/>
        </w:trPr>
        <w:tc>
          <w:tcPr>
            <w:tcW w:w="2921" w:type="dxa"/>
            <w:gridSpan w:val="3"/>
            <w:shd w:val="clear" w:color="auto" w:fill="auto"/>
            <w:vAlign w:val="center"/>
          </w:tcPr>
          <w:p w14:paraId="3E49D7D5" w14:textId="29825832" w:rsidR="00705333" w:rsidRDefault="004210B2" w:rsidP="00874376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Świadczeniodawcy</w:t>
            </w:r>
            <w:r w:rsidR="0070533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na terenie województw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objętych pilotażem</w:t>
            </w:r>
          </w:p>
        </w:tc>
        <w:tc>
          <w:tcPr>
            <w:tcW w:w="2036" w:type="dxa"/>
            <w:gridSpan w:val="6"/>
            <w:shd w:val="clear" w:color="auto" w:fill="auto"/>
            <w:vAlign w:val="center"/>
          </w:tcPr>
          <w:p w14:paraId="31E9EBFC" w14:textId="01042917" w:rsidR="00705333" w:rsidRDefault="007C1587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17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760EED2C" w14:textId="3CB3E654" w:rsidR="00705333" w:rsidRDefault="00705333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4210B2">
              <w:rPr>
                <w:rFonts w:ascii="Times New Roman" w:hAnsi="Times New Roman"/>
                <w:color w:val="000000"/>
                <w:spacing w:val="-2"/>
              </w:rPr>
              <w:t>ałożenia do pilotażu</w:t>
            </w:r>
          </w:p>
        </w:tc>
        <w:tc>
          <w:tcPr>
            <w:tcW w:w="2957" w:type="dxa"/>
            <w:gridSpan w:val="6"/>
            <w:shd w:val="clear" w:color="auto" w:fill="auto"/>
            <w:vAlign w:val="center"/>
          </w:tcPr>
          <w:p w14:paraId="35ADADE4" w14:textId="5318FC68" w:rsidR="00705333" w:rsidRDefault="00705333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Przetestowanie nowych zasad</w:t>
            </w:r>
            <w:r w:rsidR="004210B2">
              <w:rPr>
                <w:rFonts w:ascii="Times New Roman" w:hAnsi="Times New Roman"/>
                <w:color w:val="000000"/>
                <w:spacing w:val="-2"/>
              </w:rPr>
              <w:t xml:space="preserve"> organizacji opieki onkologicznej oraz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finansowania i sprawozdawczości w onkologii</w:t>
            </w:r>
          </w:p>
        </w:tc>
      </w:tr>
      <w:tr w:rsidR="00705333" w:rsidRPr="0035451F" w14:paraId="6F9FF3F8" w14:textId="77777777" w:rsidTr="00447605">
        <w:trPr>
          <w:trHeight w:val="1504"/>
          <w:jc w:val="center"/>
        </w:trPr>
        <w:tc>
          <w:tcPr>
            <w:tcW w:w="2921" w:type="dxa"/>
            <w:gridSpan w:val="3"/>
            <w:shd w:val="clear" w:color="auto" w:fill="auto"/>
            <w:vAlign w:val="center"/>
          </w:tcPr>
          <w:p w14:paraId="71B25019" w14:textId="665F73D7" w:rsidR="00705333" w:rsidRDefault="00705333" w:rsidP="00874376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Narodowy Fundusz Zdrowia</w:t>
            </w:r>
          </w:p>
        </w:tc>
        <w:tc>
          <w:tcPr>
            <w:tcW w:w="2036" w:type="dxa"/>
            <w:gridSpan w:val="6"/>
            <w:shd w:val="clear" w:color="auto" w:fill="auto"/>
            <w:vAlign w:val="center"/>
          </w:tcPr>
          <w:p w14:paraId="60B7C385" w14:textId="057CB700" w:rsidR="00705333" w:rsidRDefault="0030096F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04D4A9A6" w14:textId="28DD0759" w:rsidR="00705333" w:rsidRDefault="004210B2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sym w:font="Symbol" w:char="F0BE"/>
            </w:r>
          </w:p>
        </w:tc>
        <w:tc>
          <w:tcPr>
            <w:tcW w:w="2957" w:type="dxa"/>
            <w:gridSpan w:val="6"/>
            <w:shd w:val="clear" w:color="auto" w:fill="auto"/>
            <w:vAlign w:val="center"/>
          </w:tcPr>
          <w:p w14:paraId="6D7D0118" w14:textId="7BCCC228" w:rsidR="00705333" w:rsidRDefault="004210B2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</w:t>
            </w:r>
            <w:r w:rsidR="0030096F">
              <w:rPr>
                <w:rFonts w:ascii="Times New Roman" w:hAnsi="Times New Roman"/>
                <w:color w:val="000000"/>
                <w:spacing w:val="-2"/>
              </w:rPr>
              <w:t>inansowanie pilotażu</w:t>
            </w:r>
            <w:r>
              <w:rPr>
                <w:rFonts w:ascii="Times New Roman" w:hAnsi="Times New Roman"/>
                <w:color w:val="000000"/>
                <w:spacing w:val="-2"/>
              </w:rPr>
              <w:t>, analiza danych sprawozdawczych, sporządzenie raportu końcowego z realizacji pilotażu</w:t>
            </w:r>
          </w:p>
        </w:tc>
      </w:tr>
      <w:tr w:rsidR="00761DDB" w:rsidRPr="0035451F" w14:paraId="7BF9BAF1" w14:textId="77777777" w:rsidTr="00DD7E8A">
        <w:trPr>
          <w:trHeight w:val="302"/>
          <w:jc w:val="center"/>
        </w:trPr>
        <w:tc>
          <w:tcPr>
            <w:tcW w:w="10910" w:type="dxa"/>
            <w:gridSpan w:val="27"/>
            <w:shd w:val="clear" w:color="auto" w:fill="99CCFF"/>
            <w:vAlign w:val="center"/>
          </w:tcPr>
          <w:p w14:paraId="3341BCEE" w14:textId="77777777" w:rsidR="00761DDB" w:rsidRPr="0035451F" w:rsidRDefault="00761DDB" w:rsidP="0087437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761DDB" w:rsidRPr="0035451F" w14:paraId="54FEDB1D" w14:textId="77777777" w:rsidTr="00DD7E8A">
        <w:trPr>
          <w:trHeight w:val="266"/>
          <w:jc w:val="center"/>
        </w:trPr>
        <w:tc>
          <w:tcPr>
            <w:tcW w:w="10910" w:type="dxa"/>
            <w:gridSpan w:val="27"/>
            <w:shd w:val="clear" w:color="auto" w:fill="FFFFFF"/>
          </w:tcPr>
          <w:p w14:paraId="6935836C" w14:textId="164E37A9" w:rsidR="00186882" w:rsidRDefault="00186882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86882">
              <w:rPr>
                <w:rFonts w:ascii="Times New Roman" w:hAnsi="Times New Roman"/>
                <w:color w:val="000000"/>
                <w:spacing w:val="-2"/>
              </w:rPr>
              <w:t>Nie były prowadzone pre-konsultacje projektu rozporządzenia.</w:t>
            </w:r>
          </w:p>
          <w:p w14:paraId="54859E90" w14:textId="3CF8C4AD" w:rsidR="00186882" w:rsidRPr="00A9554B" w:rsidRDefault="00186882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86882">
              <w:rPr>
                <w:rFonts w:ascii="Times New Roman" w:hAnsi="Times New Roman"/>
                <w:color w:val="000000"/>
                <w:spacing w:val="-2"/>
              </w:rPr>
              <w:t xml:space="preserve">W ramach </w:t>
            </w:r>
            <w:r w:rsidR="00E35202"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Pr="00186882">
              <w:rPr>
                <w:rFonts w:ascii="Times New Roman" w:hAnsi="Times New Roman"/>
                <w:color w:val="000000"/>
                <w:spacing w:val="-2"/>
              </w:rPr>
              <w:t>-dniowych konsultacji publicznych i opiniowania projekt rozporządzenia został przesłany do zaopiniowania przez następujące podmioty:</w:t>
            </w:r>
          </w:p>
          <w:p w14:paraId="2520D4AE" w14:textId="1FC3B17A" w:rsidR="00186882" w:rsidRPr="00C66D68" w:rsidRDefault="00186882" w:rsidP="0087437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1C3CD0">
              <w:rPr>
                <w:rFonts w:ascii="Times New Roman" w:eastAsia="Times New Roman" w:hAnsi="Times New Roman"/>
                <w:bCs/>
                <w:lang w:eastAsia="pl-PL"/>
              </w:rPr>
              <w:t xml:space="preserve">konsultantów krajowych w </w:t>
            </w:r>
            <w:r w:rsidR="00451632">
              <w:rPr>
                <w:rFonts w:ascii="Times New Roman" w:eastAsia="Times New Roman" w:hAnsi="Times New Roman"/>
                <w:bCs/>
                <w:lang w:eastAsia="pl-PL"/>
              </w:rPr>
              <w:t xml:space="preserve">wybranych </w:t>
            </w:r>
            <w:r w:rsidRPr="001C3CD0">
              <w:rPr>
                <w:rFonts w:ascii="Times New Roman" w:eastAsia="Times New Roman" w:hAnsi="Times New Roman"/>
                <w:bCs/>
                <w:lang w:eastAsia="pl-PL"/>
              </w:rPr>
              <w:t xml:space="preserve">dziedzinach medycyny: </w:t>
            </w:r>
            <w:r w:rsidRPr="00C66D68">
              <w:rPr>
                <w:rFonts w:ascii="Times New Roman" w:eastAsia="Times New Roman" w:hAnsi="Times New Roman"/>
                <w:lang w:eastAsia="pl-PL"/>
              </w:rPr>
              <w:t>chirurgii ogólnej,</w:t>
            </w:r>
            <w:r w:rsidR="009D5772">
              <w:rPr>
                <w:rFonts w:ascii="Times New Roman" w:eastAsia="Times New Roman" w:hAnsi="Times New Roman"/>
                <w:lang w:eastAsia="pl-PL"/>
              </w:rPr>
              <w:t xml:space="preserve"> chirurgii klatki piersiowej,</w:t>
            </w:r>
            <w:r w:rsidRPr="00C66D68">
              <w:rPr>
                <w:rFonts w:ascii="Times New Roman" w:eastAsia="Times New Roman" w:hAnsi="Times New Roman"/>
                <w:lang w:eastAsia="pl-PL"/>
              </w:rPr>
              <w:t xml:space="preserve"> chirurgii onkologicznej,</w:t>
            </w:r>
            <w:r w:rsidR="009D5772">
              <w:rPr>
                <w:rFonts w:ascii="Times New Roman" w:eastAsia="Times New Roman" w:hAnsi="Times New Roman"/>
                <w:lang w:eastAsia="pl-PL"/>
              </w:rPr>
              <w:t xml:space="preserve"> chorób płuc,</w:t>
            </w:r>
            <w:r w:rsidRPr="00C66D68">
              <w:rPr>
                <w:rFonts w:ascii="Times New Roman" w:eastAsia="Times New Roman" w:hAnsi="Times New Roman"/>
                <w:lang w:eastAsia="pl-PL"/>
              </w:rPr>
              <w:t xml:space="preserve"> ginekolo</w:t>
            </w:r>
            <w:r>
              <w:rPr>
                <w:rFonts w:ascii="Times New Roman" w:eastAsia="Times New Roman" w:hAnsi="Times New Roman"/>
                <w:lang w:eastAsia="pl-PL"/>
              </w:rPr>
              <w:t>gii onko</w:t>
            </w:r>
            <w:r w:rsidR="00C377BA">
              <w:rPr>
                <w:rFonts w:ascii="Times New Roman" w:eastAsia="Times New Roman" w:hAnsi="Times New Roman"/>
                <w:lang w:eastAsia="pl-PL"/>
              </w:rPr>
              <w:t xml:space="preserve">logicznej, genetyki klinicznej, </w:t>
            </w:r>
            <w:r w:rsidRPr="00C66D68">
              <w:rPr>
                <w:rFonts w:ascii="Times New Roman" w:eastAsia="Times New Roman" w:hAnsi="Times New Roman"/>
                <w:lang w:eastAsia="pl-PL"/>
              </w:rPr>
              <w:t>onkologii klinicznej, patomorfologii, radiologii i diagnostyki obrazow</w:t>
            </w:r>
            <w:r>
              <w:rPr>
                <w:rFonts w:ascii="Times New Roman" w:eastAsia="Times New Roman" w:hAnsi="Times New Roman"/>
                <w:lang w:eastAsia="pl-PL"/>
              </w:rPr>
              <w:t>ej, radioterapii onkologicznej</w:t>
            </w:r>
            <w:r w:rsidR="009D5772">
              <w:rPr>
                <w:rFonts w:ascii="Times New Roman" w:eastAsia="Times New Roman" w:hAnsi="Times New Roman"/>
                <w:lang w:eastAsia="pl-PL"/>
              </w:rPr>
              <w:t>, urologii</w:t>
            </w:r>
            <w:r w:rsidR="006E5C41">
              <w:rPr>
                <w:rFonts w:ascii="Times New Roman" w:eastAsia="Times New Roman" w:hAnsi="Times New Roman"/>
                <w:lang w:eastAsia="pl-PL"/>
              </w:rPr>
              <w:t>, pielęgniarstwa onkologicznego;</w:t>
            </w:r>
          </w:p>
          <w:p w14:paraId="778BCCEE" w14:textId="77777777" w:rsidR="00186882" w:rsidRPr="001C3CD0" w:rsidRDefault="00186882" w:rsidP="0087437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1C3CD0">
              <w:rPr>
                <w:rFonts w:ascii="Times New Roman" w:eastAsia="Times New Roman" w:hAnsi="Times New Roman"/>
                <w:bCs/>
                <w:lang w:eastAsia="pl-PL"/>
              </w:rPr>
              <w:t xml:space="preserve">samorządy zawodów medycznych: Naczelną Izbę Lekarską, Naczelną Izbę Aptekarską, Naczelną Izbę Pielęgniarek </w:t>
            </w:r>
            <w:r w:rsidRPr="001C3CD0">
              <w:rPr>
                <w:rFonts w:ascii="Times New Roman" w:eastAsia="Times New Roman" w:hAnsi="Times New Roman"/>
                <w:bCs/>
                <w:lang w:eastAsia="pl-PL"/>
              </w:rPr>
              <w:br/>
              <w:t>i Położnych, Krajową Izbę Diagnostów Laboratoryjnych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i Krajową Izbę Fizjoterapeutów</w:t>
            </w:r>
            <w:r w:rsidRPr="001C3CD0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26415023" w14:textId="46828E20" w:rsidR="005251E3" w:rsidRPr="00B00979" w:rsidRDefault="00186882" w:rsidP="0087437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00979">
              <w:rPr>
                <w:rFonts w:ascii="Times New Roman" w:eastAsia="Times New Roman" w:hAnsi="Times New Roman"/>
                <w:bCs/>
                <w:lang w:eastAsia="pl-PL"/>
              </w:rPr>
              <w:t xml:space="preserve">związki zawodowe i organizacje pracodawców: </w:t>
            </w:r>
            <w:r w:rsidR="005251E3" w:rsidRPr="00B00979">
              <w:rPr>
                <w:rFonts w:ascii="Times New Roman" w:eastAsia="Times New Roman" w:hAnsi="Times New Roman"/>
                <w:bCs/>
                <w:lang w:eastAsia="pl-PL"/>
              </w:rPr>
              <w:t>Porozumienie Pracod</w:t>
            </w:r>
            <w:r w:rsidR="001632FE">
              <w:rPr>
                <w:rFonts w:ascii="Times New Roman" w:eastAsia="Times New Roman" w:hAnsi="Times New Roman"/>
                <w:bCs/>
                <w:lang w:eastAsia="pl-PL"/>
              </w:rPr>
              <w:t>awców Ochrony Zdrowia, Federację</w:t>
            </w:r>
            <w:r w:rsidR="005251E3" w:rsidRPr="00B00979">
              <w:rPr>
                <w:rFonts w:ascii="Times New Roman" w:eastAsia="Times New Roman" w:hAnsi="Times New Roman"/>
                <w:bCs/>
                <w:lang w:eastAsia="pl-PL"/>
              </w:rPr>
              <w:t xml:space="preserve"> Związków Pracodawców Zakła</w:t>
            </w:r>
            <w:r w:rsidR="001632FE">
              <w:rPr>
                <w:rFonts w:ascii="Times New Roman" w:eastAsia="Times New Roman" w:hAnsi="Times New Roman"/>
                <w:bCs/>
                <w:lang w:eastAsia="pl-PL"/>
              </w:rPr>
              <w:t>dów Opieki Zdrowotnej, Federację</w:t>
            </w:r>
            <w:r w:rsidR="005251E3" w:rsidRPr="00B00979">
              <w:rPr>
                <w:rFonts w:ascii="Times New Roman" w:eastAsia="Times New Roman" w:hAnsi="Times New Roman"/>
                <w:bCs/>
                <w:lang w:eastAsia="pl-PL"/>
              </w:rPr>
              <w:t xml:space="preserve"> Związków Pracodawców Ochrony Zdrowia „Porozumienie Zielonogórskie”, </w:t>
            </w:r>
            <w:r w:rsidR="00E925B8">
              <w:rPr>
                <w:rFonts w:ascii="Times New Roman" w:eastAsia="Times New Roman" w:hAnsi="Times New Roman"/>
                <w:bCs/>
                <w:lang w:eastAsia="pl-PL"/>
              </w:rPr>
              <w:t xml:space="preserve">Stowarzyszenie Menedżerów Opieki Zdrowotnej, </w:t>
            </w:r>
            <w:r w:rsidR="005251E3" w:rsidRPr="00B00979">
              <w:rPr>
                <w:rFonts w:ascii="Times New Roman" w:eastAsia="Times New Roman" w:hAnsi="Times New Roman"/>
                <w:bCs/>
                <w:lang w:eastAsia="pl-PL"/>
              </w:rPr>
              <w:t>Forum Związków Zawodowych, Sekretariat Ochrony Zdrowia KK NSZZ „Solidarność”, Krajowy Sekretariat Ochrony Zdrowia NSZZ „Solidarność 80”, Ogólnopolskie Porozumienie Związków Zawodowych, Związek Powiatów Polskich, Związek Rzemiosła Polskiego, Związek Przedsiębiorców i Pracodawców, Konwent Marszałków Województw, Pracodawc</w:t>
            </w:r>
            <w:r w:rsidR="00BF29BB">
              <w:rPr>
                <w:rFonts w:ascii="Times New Roman" w:eastAsia="Times New Roman" w:hAnsi="Times New Roman"/>
                <w:bCs/>
                <w:lang w:eastAsia="pl-PL"/>
              </w:rPr>
              <w:t>ów</w:t>
            </w:r>
            <w:r w:rsidR="005251E3" w:rsidRPr="00B00979">
              <w:rPr>
                <w:rFonts w:ascii="Times New Roman" w:eastAsia="Times New Roman" w:hAnsi="Times New Roman"/>
                <w:bCs/>
                <w:lang w:eastAsia="pl-PL"/>
              </w:rPr>
              <w:t xml:space="preserve"> Rzeczypospolitej Polskiej, Konfederacj</w:t>
            </w:r>
            <w:r w:rsidR="00BF29BB">
              <w:rPr>
                <w:rFonts w:ascii="Times New Roman" w:eastAsia="Times New Roman" w:hAnsi="Times New Roman"/>
                <w:bCs/>
                <w:lang w:eastAsia="pl-PL"/>
              </w:rPr>
              <w:t>ę</w:t>
            </w:r>
            <w:r w:rsidR="005251E3" w:rsidRPr="00B00979">
              <w:rPr>
                <w:rFonts w:ascii="Times New Roman" w:eastAsia="Times New Roman" w:hAnsi="Times New Roman"/>
                <w:bCs/>
                <w:lang w:eastAsia="pl-PL"/>
              </w:rPr>
              <w:t xml:space="preserve"> „Lewiatan”, Business Center Club, Ogólnopolski Związek Zawodowy Lekarzy, Ogólnopolski Związek Zawodowy Pielęgniarek i Położnych, Ogólnopolski Związek Zawodowy Położnych;</w:t>
            </w:r>
          </w:p>
          <w:p w14:paraId="353F305F" w14:textId="010A7F3A" w:rsidR="00E925B8" w:rsidRPr="00E925B8" w:rsidRDefault="00186882" w:rsidP="0087437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1633B">
              <w:rPr>
                <w:rFonts w:ascii="Times New Roman" w:eastAsia="Times New Roman" w:hAnsi="Times New Roman"/>
                <w:bCs/>
                <w:lang w:eastAsia="pl-PL"/>
              </w:rPr>
              <w:t xml:space="preserve">stowarzyszenia w ochronie zdrowia, w tym z tymi działające na rzecz pacjentów, tj. </w:t>
            </w:r>
            <w:r w:rsidRPr="00B1633B">
              <w:rPr>
                <w:rFonts w:ascii="Times New Roman" w:eastAsia="Times New Roman" w:hAnsi="Times New Roman"/>
                <w:lang w:eastAsia="pl-PL"/>
              </w:rPr>
              <w:t>Polsk</w:t>
            </w:r>
            <w:r w:rsidR="00BF29BB">
              <w:rPr>
                <w:rFonts w:ascii="Times New Roman" w:eastAsia="Times New Roman" w:hAnsi="Times New Roman"/>
                <w:lang w:eastAsia="pl-PL"/>
              </w:rPr>
              <w:t>ą</w:t>
            </w:r>
            <w:r w:rsidRPr="00B1633B">
              <w:rPr>
                <w:rFonts w:ascii="Times New Roman" w:eastAsia="Times New Roman" w:hAnsi="Times New Roman"/>
                <w:lang w:eastAsia="pl-PL"/>
              </w:rPr>
              <w:t xml:space="preserve"> Koalicj</w:t>
            </w:r>
            <w:r w:rsidR="00BF29BB">
              <w:rPr>
                <w:rFonts w:ascii="Times New Roman" w:eastAsia="Times New Roman" w:hAnsi="Times New Roman"/>
                <w:lang w:eastAsia="pl-PL"/>
              </w:rPr>
              <w:t>ę</w:t>
            </w:r>
            <w:r w:rsidRPr="00B1633B">
              <w:rPr>
                <w:rFonts w:ascii="Times New Roman" w:eastAsia="Times New Roman" w:hAnsi="Times New Roman"/>
                <w:lang w:eastAsia="pl-PL"/>
              </w:rPr>
              <w:t xml:space="preserve"> Pacjentów Onkologicznych</w:t>
            </w:r>
            <w:r w:rsidR="00A319C9">
              <w:rPr>
                <w:rFonts w:ascii="Times New Roman" w:eastAsia="Times New Roman" w:hAnsi="Times New Roman"/>
                <w:lang w:eastAsia="pl-PL"/>
              </w:rPr>
              <w:t>,</w:t>
            </w:r>
            <w:r w:rsidR="00A319C9" w:rsidRPr="00B1633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925B8">
              <w:rPr>
                <w:rFonts w:ascii="Times New Roman" w:eastAsia="Times New Roman" w:hAnsi="Times New Roman"/>
                <w:lang w:eastAsia="pl-PL"/>
              </w:rPr>
              <w:t xml:space="preserve">Federację Pacjentów Polskich, </w:t>
            </w:r>
            <w:r w:rsidR="00E925B8" w:rsidRPr="00E925B8">
              <w:rPr>
                <w:rFonts w:ascii="Times New Roman" w:eastAsia="Times New Roman" w:hAnsi="Times New Roman"/>
                <w:lang w:eastAsia="pl-PL"/>
              </w:rPr>
              <w:t>Instytut Praw Pacjenta i Edukacji Zdrowotnej</w:t>
            </w:r>
            <w:r w:rsidR="00E925B8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E925B8" w:rsidRPr="00E925B8">
              <w:rPr>
                <w:rFonts w:ascii="Times New Roman" w:eastAsia="Times New Roman" w:hAnsi="Times New Roman"/>
                <w:lang w:eastAsia="pl-PL"/>
              </w:rPr>
              <w:t xml:space="preserve">Stowarzyszenie </w:t>
            </w:r>
            <w:r w:rsidR="00220236">
              <w:rPr>
                <w:rFonts w:ascii="Times New Roman" w:eastAsia="Times New Roman" w:hAnsi="Times New Roman"/>
                <w:lang w:eastAsia="pl-PL"/>
              </w:rPr>
              <w:br/>
            </w:r>
            <w:r w:rsidR="00E925B8" w:rsidRPr="00E925B8">
              <w:rPr>
                <w:rFonts w:ascii="Times New Roman" w:eastAsia="Times New Roman" w:hAnsi="Times New Roman"/>
                <w:lang w:eastAsia="pl-PL"/>
              </w:rPr>
              <w:t>„Dla Dobra Pacjenta”</w:t>
            </w:r>
            <w:r w:rsidR="00E925B8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E925B8" w:rsidRPr="00E925B8">
              <w:rPr>
                <w:rFonts w:ascii="Times New Roman" w:eastAsia="Times New Roman" w:hAnsi="Times New Roman"/>
                <w:lang w:eastAsia="pl-PL"/>
              </w:rPr>
              <w:t>Stowarzyszenie „Primum Non Nocere”</w:t>
            </w:r>
            <w:r w:rsidR="00E925B8">
              <w:rPr>
                <w:rFonts w:ascii="Times New Roman" w:eastAsia="Times New Roman" w:hAnsi="Times New Roman"/>
                <w:lang w:eastAsia="pl-PL"/>
              </w:rPr>
              <w:t>;</w:t>
            </w:r>
            <w:r w:rsidR="00E925B8" w:rsidRPr="00E925B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619C2B21" w14:textId="2A79B425" w:rsidR="00B65A0C" w:rsidRPr="00B65A0C" w:rsidRDefault="00186882" w:rsidP="0087437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65A0C">
              <w:rPr>
                <w:rFonts w:ascii="Times New Roman" w:eastAsia="Times New Roman" w:hAnsi="Times New Roman"/>
                <w:bCs/>
                <w:lang w:eastAsia="pl-PL"/>
              </w:rPr>
              <w:t>towarzystwa naukowe</w:t>
            </w:r>
            <w:r w:rsidR="00C377BA" w:rsidRPr="00B65A0C">
              <w:rPr>
                <w:rFonts w:ascii="Times New Roman" w:eastAsia="Times New Roman" w:hAnsi="Times New Roman"/>
                <w:bCs/>
                <w:lang w:eastAsia="pl-PL"/>
              </w:rPr>
              <w:t xml:space="preserve">: </w:t>
            </w:r>
            <w:r w:rsidR="00B65A0C" w:rsidRPr="00B65A0C">
              <w:rPr>
                <w:rFonts w:ascii="Times New Roman" w:eastAsia="Times New Roman" w:hAnsi="Times New Roman"/>
                <w:bCs/>
                <w:lang w:eastAsia="pl-PL"/>
              </w:rPr>
              <w:t>P</w:t>
            </w:r>
            <w:r w:rsidR="00B65A0C">
              <w:rPr>
                <w:rFonts w:ascii="Times New Roman" w:eastAsia="Times New Roman" w:hAnsi="Times New Roman"/>
                <w:bCs/>
                <w:lang w:eastAsia="pl-PL"/>
              </w:rPr>
              <w:t xml:space="preserve">olskie Towarzystwo Onkologiczne, </w:t>
            </w:r>
            <w:r w:rsidR="00B65A0C" w:rsidRPr="00B65A0C">
              <w:rPr>
                <w:rFonts w:ascii="Times New Roman" w:eastAsia="Times New Roman" w:hAnsi="Times New Roman"/>
                <w:bCs/>
                <w:lang w:eastAsia="pl-PL"/>
              </w:rPr>
              <w:t>Polski</w:t>
            </w:r>
            <w:r w:rsidR="00B65A0C">
              <w:rPr>
                <w:rFonts w:ascii="Times New Roman" w:eastAsia="Times New Roman" w:hAnsi="Times New Roman"/>
                <w:bCs/>
                <w:lang w:eastAsia="pl-PL"/>
              </w:rPr>
              <w:t xml:space="preserve">e Towarzystwo Chirurgii Ogólnej, </w:t>
            </w:r>
            <w:r w:rsidR="00B65A0C" w:rsidRPr="00B65A0C">
              <w:rPr>
                <w:rFonts w:ascii="Times New Roman" w:eastAsia="Times New Roman" w:hAnsi="Times New Roman"/>
                <w:bCs/>
                <w:lang w:eastAsia="pl-PL"/>
              </w:rPr>
              <w:t>Polskie Towarzystwo Chirurgii Onkologicznej</w:t>
            </w:r>
            <w:r w:rsidR="00B65A0C">
              <w:rPr>
                <w:rFonts w:ascii="Times New Roman" w:eastAsia="Times New Roman" w:hAnsi="Times New Roman"/>
                <w:bCs/>
                <w:lang w:eastAsia="pl-PL"/>
              </w:rPr>
              <w:t xml:space="preserve">, Polskie Towarzystwo Chorób Płuc, </w:t>
            </w:r>
            <w:r w:rsidR="00B65A0C" w:rsidRPr="00B65A0C">
              <w:rPr>
                <w:rFonts w:ascii="Times New Roman" w:eastAsia="Times New Roman" w:hAnsi="Times New Roman"/>
                <w:bCs/>
                <w:lang w:eastAsia="pl-PL"/>
              </w:rPr>
              <w:t xml:space="preserve">Polskie Towarzystwo </w:t>
            </w:r>
            <w:r w:rsidR="00B65A0C">
              <w:rPr>
                <w:rFonts w:ascii="Times New Roman" w:eastAsia="Times New Roman" w:hAnsi="Times New Roman"/>
                <w:bCs/>
                <w:lang w:eastAsia="pl-PL"/>
              </w:rPr>
              <w:t xml:space="preserve">Kardio-Torakochirurgów, </w:t>
            </w:r>
            <w:r w:rsidR="00B65A0C" w:rsidRPr="00B65A0C">
              <w:rPr>
                <w:rFonts w:ascii="Times New Roman" w:eastAsia="Times New Roman" w:hAnsi="Times New Roman"/>
                <w:bCs/>
                <w:lang w:eastAsia="pl-PL"/>
              </w:rPr>
              <w:t>Polskie Towarzystwo Urologiczne</w:t>
            </w:r>
            <w:r w:rsidR="00B65A0C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="00B65A0C" w:rsidRPr="00B65A0C">
              <w:rPr>
                <w:rFonts w:ascii="Times New Roman" w:eastAsia="Times New Roman" w:hAnsi="Times New Roman"/>
                <w:bCs/>
                <w:lang w:eastAsia="pl-PL"/>
              </w:rPr>
              <w:t>Polskie Towarzystwo Onkologiczne</w:t>
            </w:r>
            <w:r w:rsidR="00B65A0C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="00B65A0C" w:rsidRPr="00B65A0C">
              <w:rPr>
                <w:rFonts w:ascii="Times New Roman" w:eastAsia="Times New Roman" w:hAnsi="Times New Roman"/>
                <w:bCs/>
                <w:lang w:eastAsia="pl-PL"/>
              </w:rPr>
              <w:t>Polskie Towarzystwo Onkologii Klinicznej</w:t>
            </w:r>
            <w:r w:rsidR="00B65A0C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hyperlink r:id="rId10" w:tgtFrame="_self" w:history="1">
              <w:r w:rsidR="00B65A0C" w:rsidRPr="00B65A0C">
                <w:rPr>
                  <w:rFonts w:ascii="Times New Roman" w:eastAsia="Times New Roman" w:hAnsi="Times New Roman"/>
                  <w:bCs/>
                  <w:lang w:eastAsia="pl-PL"/>
                </w:rPr>
                <w:t>Polskie Towarzystwo Ginekologii Onkologicznej</w:t>
              </w:r>
            </w:hyperlink>
            <w:r w:rsidR="00B65A0C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hyperlink r:id="rId11" w:tgtFrame="_self" w:history="1">
              <w:r w:rsidR="00B65A0C" w:rsidRPr="00B65A0C">
                <w:rPr>
                  <w:rFonts w:ascii="Times New Roman" w:eastAsia="Times New Roman" w:hAnsi="Times New Roman"/>
                  <w:bCs/>
                  <w:lang w:eastAsia="pl-PL"/>
                </w:rPr>
                <w:t>Polskie Towarzystwo Radioterapii Onkologicznej</w:t>
              </w:r>
            </w:hyperlink>
            <w:r w:rsidR="00B65A0C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51BA1773" w14:textId="7A675B4B" w:rsidR="00FF11DC" w:rsidRDefault="00186882" w:rsidP="0087437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186882">
              <w:rPr>
                <w:rFonts w:ascii="Times New Roman" w:eastAsia="Times New Roman" w:hAnsi="Times New Roman"/>
                <w:bCs/>
                <w:lang w:eastAsia="pl-PL"/>
              </w:rPr>
              <w:t>uc</w:t>
            </w:r>
            <w:r w:rsidR="002C0FF9">
              <w:rPr>
                <w:rFonts w:ascii="Times New Roman" w:eastAsia="Times New Roman" w:hAnsi="Times New Roman"/>
                <w:bCs/>
                <w:lang w:eastAsia="pl-PL"/>
              </w:rPr>
              <w:t>zelnie medyczne i instytuty</w:t>
            </w:r>
            <w:r w:rsidRPr="00186882">
              <w:rPr>
                <w:rFonts w:ascii="Times New Roman" w:eastAsia="Times New Roman" w:hAnsi="Times New Roman"/>
                <w:bCs/>
                <w:lang w:eastAsia="pl-PL"/>
              </w:rPr>
              <w:t>:</w:t>
            </w:r>
            <w:r w:rsidR="002C0FF9" w:rsidRPr="002C0FF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FF11DC">
              <w:rPr>
                <w:rFonts w:ascii="Times New Roman" w:eastAsia="Times New Roman" w:hAnsi="Times New Roman"/>
                <w:bCs/>
                <w:lang w:eastAsia="pl-PL"/>
              </w:rPr>
              <w:t>Konferencj</w:t>
            </w:r>
            <w:r w:rsidR="00BF29BB">
              <w:rPr>
                <w:rFonts w:ascii="Times New Roman" w:eastAsia="Times New Roman" w:hAnsi="Times New Roman"/>
                <w:bCs/>
                <w:lang w:eastAsia="pl-PL"/>
              </w:rPr>
              <w:t>ę</w:t>
            </w:r>
            <w:r w:rsidR="00FF11DC">
              <w:rPr>
                <w:rFonts w:ascii="Times New Roman" w:eastAsia="Times New Roman" w:hAnsi="Times New Roman"/>
                <w:bCs/>
                <w:lang w:eastAsia="pl-PL"/>
              </w:rPr>
              <w:t xml:space="preserve"> Rektorów Akademickich Uczelni Medycznych, </w:t>
            </w:r>
            <w:r w:rsidRPr="002C0FF9">
              <w:rPr>
                <w:rFonts w:ascii="Times New Roman" w:eastAsia="Times New Roman" w:hAnsi="Times New Roman"/>
                <w:bCs/>
                <w:lang w:eastAsia="pl-PL"/>
              </w:rPr>
              <w:t>Wydział Lekarski i Nauk o Zdrowiu Uniwersytetu Jana Kochanowskiego w Kielcach</w:t>
            </w:r>
            <w:r w:rsidR="00C377BA" w:rsidRPr="002C0FF9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2C0FF9">
              <w:rPr>
                <w:rFonts w:ascii="Times New Roman" w:eastAsia="Times New Roman" w:hAnsi="Times New Roman"/>
                <w:bCs/>
                <w:lang w:eastAsia="pl-PL"/>
              </w:rPr>
              <w:t xml:space="preserve">Uniwersytet Medyczny im. Piastów Śląskich </w:t>
            </w:r>
            <w:r w:rsidR="00451632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2C0FF9">
              <w:rPr>
                <w:rFonts w:ascii="Times New Roman" w:eastAsia="Times New Roman" w:hAnsi="Times New Roman"/>
                <w:bCs/>
                <w:lang w:eastAsia="pl-PL"/>
              </w:rPr>
              <w:t>we Wrocławiu</w:t>
            </w:r>
            <w:r w:rsidR="00BF29BB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Pr="002C0FF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C377BA" w:rsidRPr="002C0FF9">
              <w:rPr>
                <w:rFonts w:ascii="Times New Roman" w:eastAsia="Times New Roman" w:hAnsi="Times New Roman"/>
                <w:bCs/>
                <w:lang w:eastAsia="pl-PL"/>
              </w:rPr>
              <w:t xml:space="preserve">Centrum Onkologii </w:t>
            </w:r>
            <w:r w:rsidR="002C0FF9">
              <w:rPr>
                <w:rFonts w:ascii="Times New Roman" w:eastAsia="Times New Roman" w:hAnsi="Times New Roman"/>
                <w:bCs/>
                <w:lang w:eastAsia="pl-PL"/>
              </w:rPr>
              <w:t>–</w:t>
            </w:r>
            <w:r w:rsidR="00C377BA" w:rsidRPr="002C0FF9">
              <w:rPr>
                <w:rFonts w:ascii="Times New Roman" w:eastAsia="Times New Roman" w:hAnsi="Times New Roman"/>
                <w:bCs/>
                <w:lang w:eastAsia="pl-PL"/>
              </w:rPr>
              <w:t xml:space="preserve"> Instytut im. Marii</w:t>
            </w:r>
            <w:r w:rsidR="00FF11DC">
              <w:rPr>
                <w:rFonts w:ascii="Times New Roman" w:eastAsia="Times New Roman" w:hAnsi="Times New Roman"/>
                <w:bCs/>
                <w:lang w:eastAsia="pl-PL"/>
              </w:rPr>
              <w:t xml:space="preserve"> Skłodowskiej-Curie w Warszawie, </w:t>
            </w:r>
            <w:r w:rsidR="00FF11DC" w:rsidRPr="00FF11DC">
              <w:rPr>
                <w:rFonts w:ascii="Times New Roman" w:eastAsia="Times New Roman" w:hAnsi="Times New Roman"/>
                <w:bCs/>
                <w:lang w:eastAsia="pl-PL"/>
              </w:rPr>
              <w:t>Instytut Gru</w:t>
            </w:r>
            <w:r w:rsidR="005E112A">
              <w:rPr>
                <w:rFonts w:ascii="Times New Roman" w:eastAsia="Times New Roman" w:hAnsi="Times New Roman"/>
                <w:bCs/>
                <w:lang w:eastAsia="pl-PL"/>
              </w:rPr>
              <w:t>źlicy i Chorób Płuc w Warszawie</w:t>
            </w:r>
            <w:r w:rsidR="00FF11DC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4F290AAD" w14:textId="19F58F3E" w:rsidR="00622B47" w:rsidRPr="00622B47" w:rsidRDefault="00622B47" w:rsidP="0087437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Dolnośląskie Centrum Onkologii we Wrocławiu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 xml:space="preserve">Izerskie Centrum Pulmonologii i Chemioterapii „Izer-Med” </w:t>
            </w:r>
            <w:r w:rsidR="00861E8B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Sp. z o. o. w Szklarskiej Porębie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„Miedziowe Centrum Zdrowia” S.A. w Lubinie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Samodzielny Publiczny Zespół Opieki Zdrowotnej w Świdnicy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Specjalistyczne Centrum Medyczne im. św</w:t>
            </w:r>
            <w:r w:rsidR="005E112A">
              <w:rPr>
                <w:rFonts w:ascii="Times New Roman" w:eastAsia="Times New Roman" w:hAnsi="Times New Roman"/>
                <w:bCs/>
                <w:lang w:eastAsia="pl-PL"/>
              </w:rPr>
              <w:t>. Jana Pawła II S.A. w Polanicy-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Zdroju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Wielospecjalistyczny Szpital – Samodzielny Publ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iczny Zespół Opieki Zdrowotnej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w Zgorzelcu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 xml:space="preserve">Dolnośląskie </w:t>
            </w:r>
            <w:r w:rsidR="00861E8B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Centrum Chorób Płuc we Wrocławiu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Specjalistyczny Szpital im. dr. Alfreda Sokołowskiego w Wałbrzychu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Uniwersytecki Szpital Kliniczny im. Jana Mikulicza-Radeckiego we Wrocławiu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4 Wojskowy Szpital Kliniczny z Polikliniką Samodzielny Publiczny Zakład Opieki Zdrowotnej we Wrocławiu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Wojewódzkie Centrum Szpitalne Kotliny Jeleniogórskiej w Jeleniej Górze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Wojewódzki Szpital Specjalistyczny w Legnicy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 xml:space="preserve">Wojewódzki Szpital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Specjalistyczny we Wrocławiu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 xml:space="preserve">Świętokrzyskie Centrum Onkologii Samodzielny Publiczny Zakład Opieki Zdrowotnej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w Kielcach,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Powiatowy Zakład Opieki Zdrowotnej w Starachowicach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 xml:space="preserve">Zespół Opieki Zdrowotnej </w:t>
            </w:r>
            <w:r w:rsidR="00861E8B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w Końskich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Pr="00622B47">
              <w:rPr>
                <w:rFonts w:ascii="Times New Roman" w:eastAsia="Times New Roman" w:hAnsi="Times New Roman"/>
                <w:bCs/>
                <w:lang w:eastAsia="pl-PL"/>
              </w:rPr>
              <w:t>Wojewódzki Szpital Specjalistyczny im. św. Rafała w Czerwonej Górze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224170E1" w14:textId="413C7644" w:rsidR="00186882" w:rsidRPr="00622B47" w:rsidRDefault="00186882" w:rsidP="0087437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22B47">
              <w:rPr>
                <w:rFonts w:ascii="Times New Roman" w:eastAsia="Times New Roman" w:hAnsi="Times New Roman"/>
                <w:lang w:eastAsia="pl-PL"/>
              </w:rPr>
              <w:t>Radę Działalności Pożytku Publicznego, Radę Dialogu Społecznego i Komisję Wspólną Rządu i Samorządu Terytorialnego.</w:t>
            </w:r>
          </w:p>
          <w:p w14:paraId="43942C00" w14:textId="4D96B764" w:rsidR="00186882" w:rsidRPr="001C3CD0" w:rsidRDefault="00186882" w:rsidP="00874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C3CD0">
              <w:rPr>
                <w:rFonts w:ascii="Times New Roman" w:hAnsi="Times New Roman"/>
              </w:rPr>
              <w:t xml:space="preserve">Projekt </w:t>
            </w:r>
            <w:r>
              <w:rPr>
                <w:rFonts w:ascii="Times New Roman" w:hAnsi="Times New Roman"/>
              </w:rPr>
              <w:t xml:space="preserve">rozporządzenia został </w:t>
            </w:r>
            <w:r w:rsidRPr="001C3CD0">
              <w:rPr>
                <w:rFonts w:ascii="Times New Roman" w:hAnsi="Times New Roman"/>
              </w:rPr>
              <w:t xml:space="preserve">opublikowany w Biuletynie Informacji Publicznej na stronie podmiotowej Ministra Zdrowia, zgodnie z przepisami ustawy z dnia 7 lipca 2005 r. o działalności lobbingowej w procesie stanowienia prawa </w:t>
            </w:r>
            <w:r w:rsidR="00220236">
              <w:rPr>
                <w:rFonts w:ascii="Times New Roman" w:hAnsi="Times New Roman"/>
              </w:rPr>
              <w:br/>
            </w:r>
            <w:r w:rsidRPr="001C3CD0">
              <w:rPr>
                <w:rFonts w:ascii="Times New Roman" w:hAnsi="Times New Roman"/>
              </w:rPr>
              <w:t xml:space="preserve">(Dz. U. </w:t>
            </w:r>
            <w:r>
              <w:rPr>
                <w:rFonts w:ascii="Times New Roman" w:hAnsi="Times New Roman"/>
              </w:rPr>
              <w:t xml:space="preserve">z 2017 r. </w:t>
            </w:r>
            <w:r w:rsidRPr="001C3CD0">
              <w:rPr>
                <w:rFonts w:ascii="Times New Roman" w:hAnsi="Times New Roman"/>
              </w:rPr>
              <w:t xml:space="preserve">poz. </w:t>
            </w:r>
            <w:r>
              <w:rPr>
                <w:rFonts w:ascii="Times New Roman" w:hAnsi="Times New Roman"/>
              </w:rPr>
              <w:t>248</w:t>
            </w:r>
            <w:r w:rsidRPr="001C3CD0">
              <w:rPr>
                <w:rFonts w:ascii="Times New Roman" w:hAnsi="Times New Roman"/>
              </w:rPr>
              <w:t xml:space="preserve">).  </w:t>
            </w:r>
          </w:p>
          <w:p w14:paraId="2668C1AF" w14:textId="41403ABD" w:rsidR="00186882" w:rsidRPr="001C3CD0" w:rsidRDefault="00186882" w:rsidP="00874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C3CD0">
              <w:rPr>
                <w:rFonts w:ascii="Times New Roman" w:hAnsi="Times New Roman"/>
              </w:rPr>
              <w:t xml:space="preserve">Projekt </w:t>
            </w:r>
            <w:r>
              <w:rPr>
                <w:rFonts w:ascii="Times New Roman" w:hAnsi="Times New Roman"/>
              </w:rPr>
              <w:t xml:space="preserve">rozporządzenia </w:t>
            </w:r>
            <w:r w:rsidRPr="001C3CD0">
              <w:rPr>
                <w:rFonts w:ascii="Times New Roman" w:hAnsi="Times New Roman"/>
              </w:rPr>
              <w:t>zosta</w:t>
            </w:r>
            <w:r>
              <w:rPr>
                <w:rFonts w:ascii="Times New Roman" w:hAnsi="Times New Roman"/>
              </w:rPr>
              <w:t>ł</w:t>
            </w:r>
            <w:r w:rsidRPr="001C3CD0">
              <w:rPr>
                <w:rFonts w:ascii="Times New Roman" w:hAnsi="Times New Roman"/>
              </w:rPr>
              <w:t xml:space="preserve"> również udostępniony w Biuletynie Informacji Publicznej na stronie podmiotowej Rządowego Centrum Legislacji w serwisie „Rządowy Proces Legislacyjny”</w:t>
            </w:r>
            <w:r w:rsidR="00BF29BB">
              <w:rPr>
                <w:rFonts w:ascii="Times New Roman" w:hAnsi="Times New Roman"/>
              </w:rPr>
              <w:t>,</w:t>
            </w:r>
            <w:r w:rsidRPr="001C3CD0">
              <w:rPr>
                <w:rFonts w:ascii="Times New Roman" w:hAnsi="Times New Roman"/>
              </w:rPr>
              <w:t xml:space="preserve"> zgodnie z § 52 ust. 1 uchwały </w:t>
            </w:r>
            <w:r>
              <w:rPr>
                <w:rFonts w:ascii="Times New Roman" w:hAnsi="Times New Roman"/>
              </w:rPr>
              <w:t>n</w:t>
            </w:r>
            <w:r w:rsidRPr="001C3CD0">
              <w:rPr>
                <w:rFonts w:ascii="Times New Roman" w:hAnsi="Times New Roman"/>
              </w:rPr>
              <w:t>r 190 Rady Ministrów z dnia 29 października 2013 r. – Regulamin pracy Rady Ministrów (M.P. z 2016 r. poz. 1006</w:t>
            </w:r>
            <w:r w:rsidR="00BF29BB">
              <w:rPr>
                <w:rFonts w:ascii="Times New Roman" w:hAnsi="Times New Roman"/>
              </w:rPr>
              <w:t>, z późn. zm.</w:t>
            </w:r>
            <w:r w:rsidRPr="001C3CD0">
              <w:rPr>
                <w:rFonts w:ascii="Times New Roman" w:hAnsi="Times New Roman"/>
              </w:rPr>
              <w:t>).</w:t>
            </w:r>
          </w:p>
          <w:p w14:paraId="23642C29" w14:textId="540DF0D4" w:rsidR="006C3C5B" w:rsidRPr="00705333" w:rsidRDefault="00186882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C3CD0">
              <w:rPr>
                <w:rFonts w:ascii="Times New Roman" w:hAnsi="Times New Roman"/>
              </w:rPr>
              <w:t xml:space="preserve">Wyniki konsultacji publicznych i opiniowania zostaną omówione, po ich zakończeniu, w raporcie dołączonym </w:t>
            </w:r>
            <w:r w:rsidR="00356E31">
              <w:rPr>
                <w:rFonts w:ascii="Times New Roman" w:hAnsi="Times New Roman"/>
              </w:rPr>
              <w:br/>
            </w:r>
            <w:r w:rsidRPr="001C3CD0">
              <w:rPr>
                <w:rFonts w:ascii="Times New Roman" w:hAnsi="Times New Roman"/>
              </w:rPr>
              <w:t>do niniejszej Oceny.</w:t>
            </w:r>
          </w:p>
        </w:tc>
      </w:tr>
      <w:tr w:rsidR="00761DDB" w:rsidRPr="0035451F" w14:paraId="4755A8A0" w14:textId="77777777" w:rsidTr="00DD7E8A">
        <w:trPr>
          <w:trHeight w:val="363"/>
          <w:jc w:val="center"/>
        </w:trPr>
        <w:tc>
          <w:tcPr>
            <w:tcW w:w="10910" w:type="dxa"/>
            <w:gridSpan w:val="27"/>
            <w:shd w:val="clear" w:color="auto" w:fill="99CCFF"/>
            <w:vAlign w:val="center"/>
          </w:tcPr>
          <w:p w14:paraId="5028C68B" w14:textId="77777777" w:rsidR="00761DDB" w:rsidRPr="0035451F" w:rsidRDefault="00761DDB" w:rsidP="0087437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761DDB" w:rsidRPr="0035451F" w14:paraId="1CC1DA89" w14:textId="77777777" w:rsidTr="00447605">
        <w:trPr>
          <w:trHeight w:val="142"/>
          <w:jc w:val="center"/>
        </w:trPr>
        <w:tc>
          <w:tcPr>
            <w:tcW w:w="3130" w:type="dxa"/>
            <w:gridSpan w:val="4"/>
            <w:vMerge w:val="restart"/>
            <w:shd w:val="clear" w:color="auto" w:fill="FFFFFF"/>
          </w:tcPr>
          <w:p w14:paraId="3C32CBB5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780" w:type="dxa"/>
            <w:gridSpan w:val="23"/>
            <w:shd w:val="clear" w:color="auto" w:fill="FFFFFF"/>
          </w:tcPr>
          <w:p w14:paraId="03BDA078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761DDB" w:rsidRPr="0035451F" w14:paraId="30BC7837" w14:textId="77777777" w:rsidTr="00447605">
        <w:trPr>
          <w:trHeight w:val="142"/>
          <w:jc w:val="center"/>
        </w:trPr>
        <w:tc>
          <w:tcPr>
            <w:tcW w:w="3130" w:type="dxa"/>
            <w:gridSpan w:val="4"/>
            <w:vMerge/>
            <w:shd w:val="clear" w:color="auto" w:fill="FFFFFF"/>
          </w:tcPr>
          <w:p w14:paraId="53E9836C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063B547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9" w:type="dxa"/>
            <w:gridSpan w:val="2"/>
            <w:shd w:val="clear" w:color="auto" w:fill="FFFFFF"/>
          </w:tcPr>
          <w:p w14:paraId="4C2E45F9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63F51DA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6633DD5A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BFB8A2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C1B111E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6C85E3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593512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55EB0D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2720C6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321179B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10" w:type="dxa"/>
            <w:gridSpan w:val="2"/>
            <w:shd w:val="clear" w:color="auto" w:fill="FFFFFF"/>
          </w:tcPr>
          <w:p w14:paraId="379380AF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761DDB" w:rsidRPr="0035451F" w14:paraId="79A14690" w14:textId="77777777" w:rsidTr="00447605">
        <w:trPr>
          <w:trHeight w:val="321"/>
          <w:jc w:val="center"/>
        </w:trPr>
        <w:tc>
          <w:tcPr>
            <w:tcW w:w="3130" w:type="dxa"/>
            <w:gridSpan w:val="4"/>
            <w:shd w:val="clear" w:color="auto" w:fill="auto"/>
            <w:vAlign w:val="center"/>
          </w:tcPr>
          <w:p w14:paraId="495CAA20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02F766CB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682F3310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C6EB4A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6B3D7E1A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311B8DFA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9228445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0C38F362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7FDD9F6F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43A654D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F4D1E19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C88B146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33059E93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61DDB" w:rsidRPr="0035451F" w14:paraId="2A682FC8" w14:textId="77777777" w:rsidTr="00447605">
        <w:trPr>
          <w:trHeight w:val="321"/>
          <w:jc w:val="center"/>
        </w:trPr>
        <w:tc>
          <w:tcPr>
            <w:tcW w:w="3130" w:type="dxa"/>
            <w:gridSpan w:val="4"/>
            <w:shd w:val="clear" w:color="auto" w:fill="auto"/>
            <w:vAlign w:val="center"/>
          </w:tcPr>
          <w:p w14:paraId="3B1D085C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63D6899C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386A1DDC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841E2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09D46774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34917348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B005617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66F38E63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28AA6A98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CC82203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14CD89EF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C315C2F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7CAA400D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61DDB" w:rsidRPr="0035451F" w14:paraId="3AE6D4D8" w14:textId="77777777" w:rsidTr="00447605">
        <w:trPr>
          <w:trHeight w:val="344"/>
          <w:jc w:val="center"/>
        </w:trPr>
        <w:tc>
          <w:tcPr>
            <w:tcW w:w="3130" w:type="dxa"/>
            <w:gridSpan w:val="4"/>
            <w:shd w:val="clear" w:color="auto" w:fill="auto"/>
            <w:vAlign w:val="center"/>
          </w:tcPr>
          <w:p w14:paraId="79FDC546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1786026C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0B17A39B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C37E5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152903B7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61804DCF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235DF3C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37C1BCE4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1E78443B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06DE5744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1AC6784A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B016548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0F97500E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78F07FCE" w14:textId="77777777" w:rsidTr="00447605">
        <w:trPr>
          <w:trHeight w:val="344"/>
          <w:jc w:val="center"/>
        </w:trPr>
        <w:tc>
          <w:tcPr>
            <w:tcW w:w="3130" w:type="dxa"/>
            <w:gridSpan w:val="4"/>
            <w:shd w:val="clear" w:color="auto" w:fill="auto"/>
            <w:vAlign w:val="center"/>
          </w:tcPr>
          <w:p w14:paraId="44803F4E" w14:textId="6F2320D9" w:rsidR="00761DDB" w:rsidRPr="0035451F" w:rsidRDefault="008A3186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Narodowy Fundusz Zdrowia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07096F34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0FFBC588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5A941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47CAFAF4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10A4266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1A22224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140485D0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0C8E4206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4887A244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1668EC7D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2452C75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42C7756C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726DE1CD" w14:textId="77777777" w:rsidTr="00447605">
        <w:trPr>
          <w:trHeight w:val="330"/>
          <w:jc w:val="center"/>
        </w:trPr>
        <w:tc>
          <w:tcPr>
            <w:tcW w:w="3130" w:type="dxa"/>
            <w:gridSpan w:val="4"/>
            <w:shd w:val="clear" w:color="auto" w:fill="auto"/>
            <w:vAlign w:val="center"/>
          </w:tcPr>
          <w:p w14:paraId="3D63FE4B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401F51D9" w14:textId="306567BC" w:rsidR="00761DDB" w:rsidRPr="0035451F" w:rsidRDefault="003D3E1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0C93BA11" w14:textId="57F1F6B1" w:rsidR="00761DDB" w:rsidRPr="0035451F" w:rsidRDefault="00D44E36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5D58D" w14:textId="080C8924" w:rsidR="00761DDB" w:rsidRPr="0035451F" w:rsidRDefault="003D3E1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69EE3E9D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3E4F64E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1CA1668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30CA683A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600D47BE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8863995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05C091B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5D633F0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359363F1" w14:textId="3DFB9AAA" w:rsidR="00761DDB" w:rsidRPr="0035451F" w:rsidRDefault="003D3E1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761DDB" w:rsidRPr="0035451F" w14:paraId="35F07366" w14:textId="77777777" w:rsidTr="00447605">
        <w:trPr>
          <w:trHeight w:val="330"/>
          <w:jc w:val="center"/>
        </w:trPr>
        <w:tc>
          <w:tcPr>
            <w:tcW w:w="3130" w:type="dxa"/>
            <w:gridSpan w:val="4"/>
            <w:shd w:val="clear" w:color="auto" w:fill="auto"/>
            <w:vAlign w:val="center"/>
          </w:tcPr>
          <w:p w14:paraId="7C7C59B9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498B0FE8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76EE214D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08800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65EE39BF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F2A34BE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1364D7E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6B47A6F9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36DD943F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6D8CFD0A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4D465C3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350D0DD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7E69A51E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56A070E2" w14:textId="77777777" w:rsidTr="00447605">
        <w:trPr>
          <w:trHeight w:val="351"/>
          <w:jc w:val="center"/>
        </w:trPr>
        <w:tc>
          <w:tcPr>
            <w:tcW w:w="3130" w:type="dxa"/>
            <w:gridSpan w:val="4"/>
            <w:shd w:val="clear" w:color="auto" w:fill="auto"/>
            <w:vAlign w:val="center"/>
          </w:tcPr>
          <w:p w14:paraId="6487E180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4BE2D659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5845EEEB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B9E5E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23272C54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30DC647D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207DE50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52E860CD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37D68C16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3CC90C3F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07E7A814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D27BCEA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588738F2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44BD3396" w14:textId="77777777" w:rsidTr="00447605">
        <w:trPr>
          <w:trHeight w:val="351"/>
          <w:jc w:val="center"/>
        </w:trPr>
        <w:tc>
          <w:tcPr>
            <w:tcW w:w="3130" w:type="dxa"/>
            <w:gridSpan w:val="4"/>
            <w:shd w:val="clear" w:color="auto" w:fill="auto"/>
            <w:vAlign w:val="center"/>
          </w:tcPr>
          <w:p w14:paraId="64176730" w14:textId="2DB45C8E" w:rsidR="00761DDB" w:rsidRPr="0035451F" w:rsidRDefault="004A0F4E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Narodowy Fundusz Zdrowia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70DE9B83" w14:textId="1FAE6C78" w:rsidR="00761DDB" w:rsidRPr="0035451F" w:rsidRDefault="003D3E1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2700F331" w14:textId="0A43BC3C" w:rsidR="00761DDB" w:rsidRPr="0035451F" w:rsidRDefault="00D44E36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E695A" w14:textId="164AE3B0" w:rsidR="00761DDB" w:rsidRPr="0035451F" w:rsidRDefault="003D3E1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0E9C97A3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871F7F2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741CD71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72732950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4704C3EB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1CDCF0E7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6312A249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CE8B896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66FE4C2C" w14:textId="5AB2F5D4" w:rsidR="00761DDB" w:rsidRPr="0035451F" w:rsidRDefault="003D3E1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761DDB" w:rsidRPr="0035451F" w14:paraId="3A229ABC" w14:textId="77777777" w:rsidTr="00447605">
        <w:trPr>
          <w:trHeight w:val="360"/>
          <w:jc w:val="center"/>
        </w:trPr>
        <w:tc>
          <w:tcPr>
            <w:tcW w:w="3130" w:type="dxa"/>
            <w:gridSpan w:val="4"/>
            <w:shd w:val="clear" w:color="auto" w:fill="auto"/>
            <w:vAlign w:val="center"/>
          </w:tcPr>
          <w:p w14:paraId="2970E825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6B86A76F" w14:textId="38CCFF2F" w:rsidR="00761DDB" w:rsidRPr="0035451F" w:rsidRDefault="003D3E1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-2,7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27D23EEB" w14:textId="027512DC" w:rsidR="00761DDB" w:rsidRPr="0035451F" w:rsidRDefault="00D44E36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47EEF" w14:textId="4C2561C7" w:rsidR="00761DDB" w:rsidRPr="0035451F" w:rsidRDefault="003D3E1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-13,3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58466E30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0FE1FB3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012DDF5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7ED9E83A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08AEEC50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39AC7AA0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8E9237E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3036AAC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0520106B" w14:textId="6330C49C" w:rsidR="00761DDB" w:rsidRPr="0035451F" w:rsidRDefault="003D3E1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-48</w:t>
            </w:r>
          </w:p>
        </w:tc>
      </w:tr>
      <w:tr w:rsidR="00761DDB" w:rsidRPr="0035451F" w14:paraId="1C1FE3D9" w14:textId="77777777" w:rsidTr="00447605">
        <w:trPr>
          <w:trHeight w:val="360"/>
          <w:jc w:val="center"/>
        </w:trPr>
        <w:tc>
          <w:tcPr>
            <w:tcW w:w="3130" w:type="dxa"/>
            <w:gridSpan w:val="4"/>
            <w:shd w:val="clear" w:color="auto" w:fill="auto"/>
            <w:vAlign w:val="center"/>
          </w:tcPr>
          <w:p w14:paraId="5C96EB2C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24C8DEC3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4916A845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23936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58996D6F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11082A99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156D8F2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7BCD7994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14BE0F6A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A62230F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01E7D038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52B98AF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648D4F16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2191716A" w14:textId="77777777" w:rsidTr="00447605">
        <w:trPr>
          <w:trHeight w:val="357"/>
          <w:jc w:val="center"/>
        </w:trPr>
        <w:tc>
          <w:tcPr>
            <w:tcW w:w="3130" w:type="dxa"/>
            <w:gridSpan w:val="4"/>
            <w:shd w:val="clear" w:color="auto" w:fill="auto"/>
            <w:vAlign w:val="center"/>
          </w:tcPr>
          <w:p w14:paraId="0E74C20B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044DB0A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5C93ED91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DB2D6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52928971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AAF9BC0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DF6FD94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276ACEAA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47871691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479851B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64F41AC6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3B40017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2B7423E2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14:paraId="36C1DDC6" w14:textId="77777777" w:rsidTr="00447605">
        <w:trPr>
          <w:trHeight w:val="357"/>
          <w:jc w:val="center"/>
        </w:trPr>
        <w:tc>
          <w:tcPr>
            <w:tcW w:w="3130" w:type="dxa"/>
            <w:gridSpan w:val="4"/>
            <w:shd w:val="clear" w:color="auto" w:fill="auto"/>
            <w:vAlign w:val="center"/>
          </w:tcPr>
          <w:p w14:paraId="63B8C0F4" w14:textId="3BC0B99C" w:rsidR="00761DDB" w:rsidRPr="0035451F" w:rsidRDefault="004A0F4E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Narodowy Fundusz Zdrowia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41CF3B7D" w14:textId="3027BBF8" w:rsidR="00761DDB" w:rsidRPr="0035451F" w:rsidRDefault="003D3E1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-2,7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462A0500" w14:textId="0C95185F" w:rsidR="00761DDB" w:rsidRPr="0035451F" w:rsidRDefault="00D44E36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E9BA1" w14:textId="0559E0DD" w:rsidR="00761DDB" w:rsidRPr="0035451F" w:rsidRDefault="003D3E1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-13,3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2C754608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A0C72E1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A9FF0A3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24DF8152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2D70F40B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614F07E3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FEE6AA7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87E64AE" w14:textId="77777777" w:rsidR="00761DDB" w:rsidRPr="0035451F" w:rsidRDefault="00B022C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53E94326" w14:textId="3A7C7B8F" w:rsidR="00761DDB" w:rsidRPr="0035451F" w:rsidRDefault="003D3E19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-48</w:t>
            </w:r>
          </w:p>
        </w:tc>
      </w:tr>
      <w:tr w:rsidR="00761DDB" w:rsidRPr="0035451F" w14:paraId="007AF6D8" w14:textId="77777777" w:rsidTr="00447605">
        <w:trPr>
          <w:trHeight w:val="1550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 w14:paraId="4665CE05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70" w:type="dxa"/>
            <w:gridSpan w:val="25"/>
            <w:shd w:val="clear" w:color="auto" w:fill="auto"/>
            <w:vAlign w:val="center"/>
          </w:tcPr>
          <w:p w14:paraId="2D016540" w14:textId="2B191C68" w:rsidR="00FE4661" w:rsidRPr="00396937" w:rsidRDefault="00FE4661" w:rsidP="00874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6937">
              <w:rPr>
                <w:rFonts w:ascii="Times New Roman" w:hAnsi="Times New Roman"/>
              </w:rPr>
              <w:t>Projektowana regulacja nie będzie miała wpływu na budżet państwa i budżety jednostek samorządu terytorialnego.</w:t>
            </w:r>
          </w:p>
          <w:p w14:paraId="47180B6C" w14:textId="2C8817D4" w:rsidR="00C377BA" w:rsidRPr="00C377BA" w:rsidRDefault="00FE4661" w:rsidP="00447605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396937">
              <w:rPr>
                <w:rFonts w:ascii="Times New Roman" w:hAnsi="Times New Roman"/>
              </w:rPr>
              <w:t>Projekt będzie</w:t>
            </w:r>
            <w:r w:rsidRPr="00396937">
              <w:t xml:space="preserve"> </w:t>
            </w:r>
            <w:r w:rsidRPr="00396937">
              <w:rPr>
                <w:rFonts w:ascii="Times New Roman" w:hAnsi="Times New Roman"/>
              </w:rPr>
              <w:t>miał wpływ na budżet Narodowego Funduszu Zdrowia.</w:t>
            </w:r>
            <w:r w:rsidRPr="00396937">
              <w:t xml:space="preserve"> </w:t>
            </w:r>
            <w:r w:rsidRPr="00396937">
              <w:rPr>
                <w:rFonts w:ascii="Times New Roman" w:hAnsi="Times New Roman"/>
              </w:rPr>
              <w:t xml:space="preserve">Wygospodarowanie środków w ramach budżetu Narodowego Funduszu Zdrowia nastąpi przez zmianę alokacji środków przeznaczonych na finansowanie świadczeń gwarantowanych określonych w </w:t>
            </w:r>
            <w:r w:rsidR="00C377BA" w:rsidRPr="00396937">
              <w:rPr>
                <w:rFonts w:ascii="Times New Roman" w:hAnsi="Times New Roman"/>
              </w:rPr>
              <w:t xml:space="preserve">planie finansowym Narodowego Funduszu Zdrowia na lata 2018 </w:t>
            </w:r>
            <w:r w:rsidR="006E1DF7" w:rsidRPr="00396937">
              <w:rPr>
                <w:rFonts w:ascii="Times New Roman" w:hAnsi="Times New Roman"/>
              </w:rPr>
              <w:t>–</w:t>
            </w:r>
            <w:r w:rsidR="00C377BA" w:rsidRPr="00396937">
              <w:rPr>
                <w:rFonts w:ascii="Times New Roman" w:hAnsi="Times New Roman"/>
              </w:rPr>
              <w:t xml:space="preserve"> 2020.</w:t>
            </w:r>
            <w:r w:rsidR="009A19D6">
              <w:rPr>
                <w:rFonts w:ascii="Times New Roman" w:hAnsi="Times New Roman"/>
              </w:rPr>
              <w:t xml:space="preserve"> </w:t>
            </w:r>
          </w:p>
        </w:tc>
      </w:tr>
      <w:tr w:rsidR="00761DDB" w:rsidRPr="0035451F" w14:paraId="0BFC38D7" w14:textId="77777777" w:rsidTr="00447605">
        <w:trPr>
          <w:trHeight w:val="1213"/>
          <w:jc w:val="center"/>
        </w:trPr>
        <w:tc>
          <w:tcPr>
            <w:tcW w:w="2240" w:type="dxa"/>
            <w:gridSpan w:val="2"/>
            <w:shd w:val="clear" w:color="auto" w:fill="auto"/>
          </w:tcPr>
          <w:p w14:paraId="085C7053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70" w:type="dxa"/>
            <w:gridSpan w:val="25"/>
            <w:shd w:val="clear" w:color="auto" w:fill="auto"/>
          </w:tcPr>
          <w:p w14:paraId="781054A2" w14:textId="260605E3" w:rsidR="00FE4661" w:rsidRPr="00396937" w:rsidRDefault="00FE4661" w:rsidP="008743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6937">
              <w:rPr>
                <w:rFonts w:ascii="Times New Roman" w:eastAsia="Times New Roman" w:hAnsi="Times New Roman"/>
                <w:lang w:eastAsia="pl-PL"/>
              </w:rPr>
              <w:t xml:space="preserve">Zgodnie z oceną kosztów wdrożenia i realizacji przedmiotowego projektu, </w:t>
            </w:r>
            <w:r w:rsidRPr="00396937">
              <w:rPr>
                <w:rFonts w:ascii="Times New Roman" w:eastAsia="Times New Roman" w:hAnsi="Times New Roman"/>
              </w:rPr>
              <w:t>kwota całkowitych kosztów p</w:t>
            </w:r>
            <w:r w:rsidR="00495B77">
              <w:rPr>
                <w:rFonts w:ascii="Times New Roman" w:eastAsia="Times New Roman" w:hAnsi="Times New Roman"/>
              </w:rPr>
              <w:t xml:space="preserve">ilotażu została </w:t>
            </w:r>
            <w:r w:rsidR="00495B77" w:rsidRPr="000807D7">
              <w:rPr>
                <w:rFonts w:ascii="Times New Roman" w:eastAsia="Times New Roman" w:hAnsi="Times New Roman"/>
              </w:rPr>
              <w:t xml:space="preserve">oszacowana na </w:t>
            </w:r>
            <w:r w:rsidR="007C046C">
              <w:rPr>
                <w:rFonts w:ascii="Times New Roman" w:eastAsia="Times New Roman" w:hAnsi="Times New Roman"/>
              </w:rPr>
              <w:t>48</w:t>
            </w:r>
            <w:r w:rsidRPr="000807D7">
              <w:rPr>
                <w:rFonts w:ascii="Times New Roman" w:eastAsia="Times New Roman" w:hAnsi="Times New Roman"/>
              </w:rPr>
              <w:t xml:space="preserve"> mln zł.</w:t>
            </w:r>
          </w:p>
          <w:p w14:paraId="0F0AE519" w14:textId="77777777" w:rsidR="00D4780D" w:rsidRDefault="00FE4661" w:rsidP="00447605">
            <w:pPr>
              <w:spacing w:before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396937">
              <w:rPr>
                <w:rFonts w:ascii="Times New Roman" w:eastAsia="Times New Roman" w:hAnsi="Times New Roman"/>
              </w:rPr>
              <w:t>Przyjęto, że koordynacja opieki nad świadczeniobiorcą w ramach sieci onkologicznej finansowana będzie w oparciu o współczy</w:t>
            </w:r>
            <w:r w:rsidR="00D4780D">
              <w:rPr>
                <w:rFonts w:ascii="Times New Roman" w:eastAsia="Times New Roman" w:hAnsi="Times New Roman"/>
              </w:rPr>
              <w:t>nniki korygujące na poziomie:</w:t>
            </w:r>
          </w:p>
          <w:p w14:paraId="7076CBAC" w14:textId="77777777" w:rsidR="00D4780D" w:rsidRPr="00D4780D" w:rsidRDefault="00D4780D" w:rsidP="00874376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/>
              </w:rPr>
            </w:pPr>
            <w:r w:rsidRPr="00D4780D">
              <w:rPr>
                <w:rFonts w:ascii="Times New Roman" w:eastAsia="Times New Roman" w:hAnsi="Times New Roman"/>
              </w:rPr>
              <w:t xml:space="preserve">1,05 dla ośrodka współpracującego I poziomu; </w:t>
            </w:r>
          </w:p>
          <w:p w14:paraId="18706ED6" w14:textId="3313EF61" w:rsidR="00D4780D" w:rsidRPr="00D4780D" w:rsidRDefault="00D4780D" w:rsidP="00874376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D4780D">
              <w:rPr>
                <w:rFonts w:ascii="Times New Roman" w:eastAsia="Times New Roman" w:hAnsi="Times New Roman"/>
              </w:rPr>
              <w:t>1,</w:t>
            </w:r>
            <w:r w:rsidR="00693EB9">
              <w:rPr>
                <w:rFonts w:ascii="Times New Roman" w:eastAsia="Times New Roman" w:hAnsi="Times New Roman"/>
              </w:rPr>
              <w:t>1</w:t>
            </w:r>
            <w:r w:rsidRPr="00D4780D">
              <w:rPr>
                <w:rFonts w:ascii="Times New Roman" w:eastAsia="Times New Roman" w:hAnsi="Times New Roman"/>
              </w:rPr>
              <w:t>75 dla ośrodka współpracującego II poziomu;</w:t>
            </w:r>
          </w:p>
          <w:p w14:paraId="2C58CA35" w14:textId="1BC64F5E" w:rsidR="00D4780D" w:rsidRPr="00D4780D" w:rsidRDefault="00D4780D" w:rsidP="00874376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D4780D">
              <w:rPr>
                <w:rFonts w:ascii="Times New Roman" w:eastAsia="Times New Roman" w:hAnsi="Times New Roman"/>
              </w:rPr>
              <w:t>1,35 dla wojewódzkiego ośrodka koordynującego</w:t>
            </w:r>
            <w:r>
              <w:rPr>
                <w:rFonts w:ascii="Times New Roman" w:eastAsia="Times New Roman" w:hAnsi="Times New Roman"/>
              </w:rPr>
              <w:t xml:space="preserve"> na terenie woj. dolnośląskiego</w:t>
            </w:r>
            <w:r w:rsidRPr="00D4780D">
              <w:rPr>
                <w:rFonts w:ascii="Times New Roman" w:eastAsia="Times New Roman" w:hAnsi="Times New Roman"/>
              </w:rPr>
              <w:t>;</w:t>
            </w:r>
          </w:p>
          <w:p w14:paraId="52CB2661" w14:textId="4C445227" w:rsidR="00113DED" w:rsidRPr="00113DED" w:rsidRDefault="00D4780D" w:rsidP="00113DED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D4780D">
              <w:rPr>
                <w:rFonts w:ascii="Times New Roman" w:eastAsia="Times New Roman" w:hAnsi="Times New Roman"/>
              </w:rPr>
              <w:t>1,3 dla wojew</w:t>
            </w:r>
            <w:r>
              <w:rPr>
                <w:rFonts w:ascii="Times New Roman" w:eastAsia="Times New Roman" w:hAnsi="Times New Roman"/>
              </w:rPr>
              <w:t>ódzkiego ośrodka koordynującego na terenie woj. świętokrzyskiego</w:t>
            </w:r>
            <w:r w:rsidRPr="00D4780D">
              <w:rPr>
                <w:rFonts w:ascii="Times New Roman" w:eastAsia="Times New Roman" w:hAnsi="Times New Roman"/>
              </w:rPr>
              <w:t>.</w:t>
            </w:r>
          </w:p>
          <w:p w14:paraId="5F651A72" w14:textId="77777777" w:rsidR="00113DED" w:rsidRPr="00113DED" w:rsidRDefault="00113DED" w:rsidP="00113DED">
            <w:pPr>
              <w:spacing w:before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113DED">
              <w:rPr>
                <w:rFonts w:ascii="Times New Roman" w:eastAsia="Times New Roman" w:hAnsi="Times New Roman"/>
              </w:rPr>
              <w:t xml:space="preserve">Zaproponowano zróżnicowanie wskaźników dla ośrodków koordynujących. Uzasadnia to fakt zróżnicowania struktury sieci onkologicznej, w szczególności znacząco większa liczba ośrodków I i II poziomu w woj. dolnośląskim. </w:t>
            </w:r>
          </w:p>
          <w:p w14:paraId="5D4DC7F0" w14:textId="0A9A7D96" w:rsidR="00447605" w:rsidRPr="00D4780D" w:rsidRDefault="00113DED" w:rsidP="00113DED">
            <w:pPr>
              <w:spacing w:before="120" w:line="240" w:lineRule="auto"/>
              <w:jc w:val="both"/>
              <w:rPr>
                <w:rFonts w:ascii="Times New Roman" w:eastAsia="Times New Roman" w:hAnsi="Times New Roman"/>
              </w:rPr>
            </w:pPr>
            <w:r w:rsidRPr="00113DED">
              <w:rPr>
                <w:rFonts w:ascii="Times New Roman" w:eastAsia="Times New Roman" w:hAnsi="Times New Roman"/>
              </w:rPr>
              <w:t xml:space="preserve">Współczynnik korygujący stosuje się do świadczeń opieki zdrowotnej rozliczanych w ramach leczenia onkologicznego realizowanego w trybie hospitalizacji i hospitalizacji planowej, o której mowa w art. 32a  ustawy, w tym w ramach umowy o udzielanie świadczeń opieki zdrowotnej </w:t>
            </w:r>
            <w:r>
              <w:rPr>
                <w:rFonts w:ascii="Times New Roman" w:eastAsia="Times New Roman" w:hAnsi="Times New Roman"/>
              </w:rPr>
              <w:br/>
            </w:r>
            <w:r w:rsidRPr="00113DED">
              <w:rPr>
                <w:rFonts w:ascii="Times New Roman" w:eastAsia="Times New Roman" w:hAnsi="Times New Roman"/>
              </w:rPr>
              <w:t>z zakresu leczenia szpitalnego, w tym  hospitalizacji realizowanej w ramach  chemioterapii, teleradioterapii, brachyterapii, terapii izotopowej i programów lekowych, w związku z tym wskaźnik korygujący nie będzie stosowany do kosztów substancji czynnych, seansów radioterapii, składników krwi i jej pochodnych, żywienia dojelitowego i pozajelitowego.</w:t>
            </w:r>
          </w:p>
        </w:tc>
      </w:tr>
      <w:tr w:rsidR="00761DDB" w:rsidRPr="0035451F" w14:paraId="0C715466" w14:textId="77777777" w:rsidTr="00DD7E8A">
        <w:trPr>
          <w:trHeight w:val="728"/>
          <w:jc w:val="center"/>
        </w:trPr>
        <w:tc>
          <w:tcPr>
            <w:tcW w:w="10910" w:type="dxa"/>
            <w:gridSpan w:val="27"/>
            <w:shd w:val="clear" w:color="auto" w:fill="99CCFF"/>
          </w:tcPr>
          <w:p w14:paraId="661D4873" w14:textId="3003B58B" w:rsidR="00761DDB" w:rsidRPr="0035451F" w:rsidRDefault="00761DDB" w:rsidP="0087437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35451F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61DDB" w:rsidRPr="0035451F" w14:paraId="37BB52B1" w14:textId="77777777" w:rsidTr="00DD7E8A">
        <w:trPr>
          <w:trHeight w:val="142"/>
          <w:jc w:val="center"/>
        </w:trPr>
        <w:tc>
          <w:tcPr>
            <w:tcW w:w="10910" w:type="dxa"/>
            <w:gridSpan w:val="27"/>
            <w:shd w:val="clear" w:color="auto" w:fill="FFFFFF"/>
          </w:tcPr>
          <w:p w14:paraId="72BF80C1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761DDB" w:rsidRPr="0035451F" w14:paraId="5B750A73" w14:textId="77777777" w:rsidTr="00447605">
        <w:trPr>
          <w:trHeight w:val="142"/>
          <w:jc w:val="center"/>
        </w:trPr>
        <w:tc>
          <w:tcPr>
            <w:tcW w:w="3886" w:type="dxa"/>
            <w:gridSpan w:val="7"/>
            <w:shd w:val="clear" w:color="auto" w:fill="FFFFFF"/>
          </w:tcPr>
          <w:p w14:paraId="28601D67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071" w:type="dxa"/>
            <w:gridSpan w:val="2"/>
            <w:shd w:val="clear" w:color="auto" w:fill="FFFFFF"/>
          </w:tcPr>
          <w:p w14:paraId="0A54CEBD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7" w:type="dxa"/>
            <w:gridSpan w:val="3"/>
            <w:shd w:val="clear" w:color="auto" w:fill="FFFFFF"/>
          </w:tcPr>
          <w:p w14:paraId="728BE5B9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BF8EBD4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77C2D83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1EABA0F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4F07F27" w14:textId="77777777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95" w:type="dxa"/>
            <w:shd w:val="clear" w:color="auto" w:fill="FFFFFF"/>
          </w:tcPr>
          <w:p w14:paraId="494AF3BA" w14:textId="6BF8A831" w:rsidR="00761DDB" w:rsidRPr="0035451F" w:rsidRDefault="00761DDB" w:rsidP="0087437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D690B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CD690B">
              <w:rPr>
                <w:rFonts w:ascii="Times New Roman" w:hAnsi="Times New Roman"/>
                <w:i/>
                <w:color w:val="000000"/>
                <w:spacing w:val="-2"/>
              </w:rPr>
              <w:br/>
            </w: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761DDB" w:rsidRPr="0035451F" w14:paraId="2571CB8D" w14:textId="77777777" w:rsidTr="00447605">
        <w:trPr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341EBC7D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1A31D1AB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5451F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44540D3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6FD49EDD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071" w:type="dxa"/>
            <w:gridSpan w:val="2"/>
            <w:shd w:val="clear" w:color="auto" w:fill="FFFFFF"/>
          </w:tcPr>
          <w:p w14:paraId="4ADF77AD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gridSpan w:val="3"/>
            <w:shd w:val="clear" w:color="auto" w:fill="FFFFFF"/>
          </w:tcPr>
          <w:p w14:paraId="79FEF732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55E20B7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19E785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D3A764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DC98B82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  <w:shd w:val="clear" w:color="auto" w:fill="FFFFFF"/>
          </w:tcPr>
          <w:p w14:paraId="57F9CE72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28FB1A04" w14:textId="77777777" w:rsidTr="00447605">
        <w:trPr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199A956D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A6328B9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071" w:type="dxa"/>
            <w:gridSpan w:val="2"/>
            <w:shd w:val="clear" w:color="auto" w:fill="FFFFFF"/>
          </w:tcPr>
          <w:p w14:paraId="291E2EE7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gridSpan w:val="3"/>
            <w:shd w:val="clear" w:color="auto" w:fill="FFFFFF"/>
          </w:tcPr>
          <w:p w14:paraId="05FA2AC4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9474252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DC82891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2C92848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A1B1152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  <w:shd w:val="clear" w:color="auto" w:fill="FFFFFF"/>
          </w:tcPr>
          <w:p w14:paraId="2B74555A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29394EDC" w14:textId="77777777" w:rsidTr="00447605">
        <w:trPr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4421C765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EEB5384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071" w:type="dxa"/>
            <w:gridSpan w:val="2"/>
            <w:shd w:val="clear" w:color="auto" w:fill="FFFFFF"/>
          </w:tcPr>
          <w:p w14:paraId="04EFE964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gridSpan w:val="3"/>
            <w:shd w:val="clear" w:color="auto" w:fill="FFFFFF"/>
          </w:tcPr>
          <w:p w14:paraId="02D94D2A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57201B2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1B807C5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C0EF5F1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4FE158A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  <w:shd w:val="clear" w:color="auto" w:fill="FFFFFF"/>
          </w:tcPr>
          <w:p w14:paraId="728D13B0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18AF7714" w14:textId="77777777" w:rsidTr="00447605">
        <w:trPr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16931495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2389569F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071" w:type="dxa"/>
            <w:gridSpan w:val="2"/>
            <w:shd w:val="clear" w:color="auto" w:fill="FFFFFF"/>
          </w:tcPr>
          <w:p w14:paraId="66CCD7F8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gridSpan w:val="3"/>
            <w:shd w:val="clear" w:color="auto" w:fill="FFFFFF"/>
          </w:tcPr>
          <w:p w14:paraId="5B862680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47FDB6F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812107B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80F32BF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A1AB12A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  <w:shd w:val="clear" w:color="auto" w:fill="FFFFFF"/>
          </w:tcPr>
          <w:p w14:paraId="5D0B61B0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5F41B5A3" w14:textId="77777777" w:rsidTr="00447605">
        <w:trPr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1E780173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7CDC61AE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24" w:type="dxa"/>
            <w:gridSpan w:val="20"/>
            <w:shd w:val="clear" w:color="auto" w:fill="FFFFFF"/>
          </w:tcPr>
          <w:p w14:paraId="289C0210" w14:textId="155A33B1" w:rsidR="003D3E19" w:rsidRPr="00B2264D" w:rsidRDefault="003D3E19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2264D">
              <w:rPr>
                <w:rFonts w:ascii="Times New Roman" w:hAnsi="Times New Roman"/>
                <w:color w:val="000000"/>
                <w:spacing w:val="-2"/>
              </w:rPr>
              <w:t>Projekt rozporządzenia nie ma wpływu na działalnoś</w:t>
            </w:r>
            <w:r>
              <w:rPr>
                <w:rFonts w:ascii="Times New Roman" w:hAnsi="Times New Roman"/>
                <w:color w:val="000000"/>
                <w:spacing w:val="-2"/>
              </w:rPr>
              <w:t>ć dużych przedsiębiorstw.</w:t>
            </w:r>
          </w:p>
          <w:p w14:paraId="2D9C464D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66D417A2" w14:textId="77777777" w:rsidTr="00447605">
        <w:trPr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76E21ADC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B2D524C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24" w:type="dxa"/>
            <w:gridSpan w:val="20"/>
            <w:shd w:val="clear" w:color="auto" w:fill="FFFFFF"/>
          </w:tcPr>
          <w:p w14:paraId="6036562A" w14:textId="09EAC6A2" w:rsidR="00B2264D" w:rsidRPr="00B2264D" w:rsidRDefault="00B2264D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2264D">
              <w:rPr>
                <w:rFonts w:ascii="Times New Roman" w:hAnsi="Times New Roman"/>
                <w:color w:val="000000"/>
                <w:spacing w:val="-2"/>
              </w:rPr>
              <w:t>Projekt rozporządzenia nie ma wpływu na działalnoś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ć mikroprzedsiębiorców, małych </w:t>
            </w:r>
            <w:r w:rsidRPr="00B2264D">
              <w:rPr>
                <w:rFonts w:ascii="Times New Roman" w:hAnsi="Times New Roman"/>
                <w:color w:val="000000"/>
                <w:spacing w:val="-2"/>
              </w:rPr>
              <w:t>i średnich przedsiębiorców.</w:t>
            </w:r>
          </w:p>
          <w:p w14:paraId="4641D6A3" w14:textId="09CAACDB" w:rsidR="00761DDB" w:rsidRPr="0035451F" w:rsidRDefault="00761DDB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52390586" w14:textId="77777777" w:rsidTr="00447605">
        <w:trPr>
          <w:trHeight w:val="864"/>
          <w:jc w:val="center"/>
        </w:trPr>
        <w:tc>
          <w:tcPr>
            <w:tcW w:w="1594" w:type="dxa"/>
            <w:vMerge/>
            <w:shd w:val="clear" w:color="auto" w:fill="FFFFFF"/>
          </w:tcPr>
          <w:p w14:paraId="719B9BAF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79B06FBF" w14:textId="77777777" w:rsidR="00761DDB" w:rsidRPr="0035451F" w:rsidRDefault="00761DDB" w:rsidP="0087437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24" w:type="dxa"/>
            <w:gridSpan w:val="20"/>
            <w:shd w:val="clear" w:color="auto" w:fill="FFFFFF"/>
          </w:tcPr>
          <w:p w14:paraId="46089496" w14:textId="7C06F91A" w:rsidR="00E43530" w:rsidRPr="0035451F" w:rsidRDefault="00E43530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43530">
              <w:rPr>
                <w:rFonts w:ascii="Times New Roman" w:hAnsi="Times New Roman"/>
                <w:color w:val="000000"/>
                <w:spacing w:val="-2"/>
              </w:rPr>
              <w:t xml:space="preserve">Przyjmuje się, że nowe rozwiązania organizacyjne wyeliminują negatywne zjawiska w onkologii, które w ostatnich latach wpływały na jakość leczenia, </w:t>
            </w:r>
            <w:r w:rsidR="00356E31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E43530">
              <w:rPr>
                <w:rFonts w:ascii="Times New Roman" w:hAnsi="Times New Roman"/>
                <w:color w:val="000000"/>
                <w:spacing w:val="-2"/>
              </w:rPr>
              <w:t>a co za tym idzie – rokowan</w:t>
            </w:r>
            <w:r>
              <w:rPr>
                <w:rFonts w:ascii="Times New Roman" w:hAnsi="Times New Roman"/>
                <w:color w:val="000000"/>
                <w:spacing w:val="-2"/>
              </w:rPr>
              <w:t>ia i szanse przeżycia pacjentów</w:t>
            </w:r>
            <w:r w:rsidRPr="00E43530">
              <w:rPr>
                <w:rFonts w:ascii="Times New Roman" w:hAnsi="Times New Roman"/>
                <w:color w:val="000000"/>
                <w:spacing w:val="-2"/>
              </w:rPr>
              <w:t xml:space="preserve">. Rozwiązania zaproponowane w pilotażu zapewnią nadzór i monitorowanie najbardziej nieefektywnych obszarów w polskiej onkologii. </w:t>
            </w:r>
          </w:p>
        </w:tc>
      </w:tr>
      <w:tr w:rsidR="00761DDB" w:rsidRPr="0035451F" w14:paraId="5FC7045E" w14:textId="77777777" w:rsidTr="00447605">
        <w:trPr>
          <w:trHeight w:val="240"/>
          <w:jc w:val="center"/>
        </w:trPr>
        <w:tc>
          <w:tcPr>
            <w:tcW w:w="1594" w:type="dxa"/>
            <w:vMerge/>
            <w:shd w:val="clear" w:color="auto" w:fill="FFFFFF"/>
          </w:tcPr>
          <w:p w14:paraId="7095D279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auto"/>
          </w:tcPr>
          <w:p w14:paraId="3EB86245" w14:textId="77777777" w:rsidR="00761DDB" w:rsidRPr="0035451F" w:rsidRDefault="007D0FF7" w:rsidP="0087437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24" w:type="dxa"/>
            <w:gridSpan w:val="20"/>
            <w:shd w:val="clear" w:color="auto" w:fill="FFFFFF"/>
          </w:tcPr>
          <w:p w14:paraId="429EC3B6" w14:textId="77777777" w:rsidR="00761DDB" w:rsidRPr="0035451F" w:rsidRDefault="00761DDB" w:rsidP="00874376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52B716C4" w14:textId="77777777" w:rsidTr="00447605">
        <w:trPr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70FF6F86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12665EAB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24" w:type="dxa"/>
            <w:gridSpan w:val="20"/>
            <w:shd w:val="clear" w:color="auto" w:fill="FFFFFF"/>
          </w:tcPr>
          <w:p w14:paraId="7C4A8AAD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20451ABA" w14:textId="77777777" w:rsidTr="00447605">
        <w:trPr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54F14A39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auto"/>
          </w:tcPr>
          <w:p w14:paraId="47B9518F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24" w:type="dxa"/>
            <w:gridSpan w:val="20"/>
            <w:shd w:val="clear" w:color="auto" w:fill="FFFFFF"/>
          </w:tcPr>
          <w:p w14:paraId="2B7AC786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14:paraId="19E302A0" w14:textId="77777777" w:rsidTr="00447605">
        <w:trPr>
          <w:trHeight w:val="1298"/>
          <w:jc w:val="center"/>
        </w:trPr>
        <w:tc>
          <w:tcPr>
            <w:tcW w:w="2240" w:type="dxa"/>
            <w:gridSpan w:val="2"/>
            <w:shd w:val="clear" w:color="auto" w:fill="FFFFFF"/>
          </w:tcPr>
          <w:p w14:paraId="161F0A25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70" w:type="dxa"/>
            <w:gridSpan w:val="25"/>
            <w:shd w:val="clear" w:color="auto" w:fill="FFFFFF"/>
            <w:vAlign w:val="center"/>
          </w:tcPr>
          <w:p w14:paraId="65917FDC" w14:textId="77777777" w:rsidR="00761DDB" w:rsidRPr="0035451F" w:rsidRDefault="00761DDB" w:rsidP="00874376">
            <w:pPr>
              <w:pStyle w:val="Akapitzlist1"/>
              <w:tabs>
                <w:tab w:val="num" w:pos="0"/>
              </w:tabs>
              <w:ind w:left="0"/>
              <w:jc w:val="both"/>
              <w:rPr>
                <w:color w:val="000000"/>
              </w:rPr>
            </w:pPr>
          </w:p>
        </w:tc>
      </w:tr>
      <w:tr w:rsidR="00761DDB" w:rsidRPr="0035451F" w14:paraId="551A36C0" w14:textId="77777777" w:rsidTr="00DD7E8A">
        <w:trPr>
          <w:trHeight w:val="342"/>
          <w:jc w:val="center"/>
        </w:trPr>
        <w:tc>
          <w:tcPr>
            <w:tcW w:w="10910" w:type="dxa"/>
            <w:gridSpan w:val="27"/>
            <w:shd w:val="clear" w:color="auto" w:fill="99CCFF"/>
            <w:vAlign w:val="center"/>
          </w:tcPr>
          <w:p w14:paraId="34E87696" w14:textId="77777777" w:rsidR="00761DDB" w:rsidRPr="0035451F" w:rsidRDefault="00761DDB" w:rsidP="0087437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61DDB" w:rsidRPr="0035451F" w14:paraId="1F343A2A" w14:textId="77777777" w:rsidTr="00DD7E8A">
        <w:trPr>
          <w:trHeight w:val="151"/>
          <w:jc w:val="center"/>
        </w:trPr>
        <w:tc>
          <w:tcPr>
            <w:tcW w:w="10910" w:type="dxa"/>
            <w:gridSpan w:val="27"/>
            <w:shd w:val="clear" w:color="auto" w:fill="FFFFFF"/>
          </w:tcPr>
          <w:p w14:paraId="69B350EB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X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61DDB" w:rsidRPr="0035451F" w14:paraId="7EBB63D7" w14:textId="77777777" w:rsidTr="00447605">
        <w:trPr>
          <w:trHeight w:val="946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31A81B3A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35451F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02" w:type="dxa"/>
            <w:gridSpan w:val="17"/>
            <w:shd w:val="clear" w:color="auto" w:fill="FFFFFF"/>
          </w:tcPr>
          <w:p w14:paraId="19293BDE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DEA652D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4384BAA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61DDB" w:rsidRPr="0035451F" w14:paraId="688472BA" w14:textId="77777777" w:rsidTr="00447605">
        <w:trPr>
          <w:trHeight w:val="1245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75F219F3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3DA8060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07BE1E1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3B954A02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02" w:type="dxa"/>
            <w:gridSpan w:val="17"/>
            <w:shd w:val="clear" w:color="auto" w:fill="FFFFFF"/>
          </w:tcPr>
          <w:p w14:paraId="6944FD53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6B747C0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0484820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4003B004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761DDB" w:rsidRPr="0035451F" w14:paraId="23208BE9" w14:textId="77777777" w:rsidTr="00447605">
        <w:trPr>
          <w:trHeight w:val="996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3C322B47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02" w:type="dxa"/>
            <w:gridSpan w:val="17"/>
            <w:shd w:val="clear" w:color="auto" w:fill="FFFFFF"/>
          </w:tcPr>
          <w:p w14:paraId="6BB3173C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08F4DD6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4A9DA18" w14:textId="77777777" w:rsidR="00804AC1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X nie dotyczy</w:t>
            </w:r>
          </w:p>
        </w:tc>
      </w:tr>
      <w:tr w:rsidR="00761DDB" w:rsidRPr="0035451F" w14:paraId="5D263E1F" w14:textId="77777777" w:rsidTr="00DD7E8A">
        <w:trPr>
          <w:trHeight w:val="333"/>
          <w:jc w:val="center"/>
        </w:trPr>
        <w:tc>
          <w:tcPr>
            <w:tcW w:w="10910" w:type="dxa"/>
            <w:gridSpan w:val="27"/>
            <w:shd w:val="clear" w:color="auto" w:fill="FFFFFF"/>
          </w:tcPr>
          <w:p w14:paraId="32A41E2C" w14:textId="77777777" w:rsidR="00761DDB" w:rsidRPr="0035451F" w:rsidRDefault="00761DDB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761DDB" w:rsidRPr="0035451F" w14:paraId="2CDB680C" w14:textId="77777777" w:rsidTr="00DD7E8A">
        <w:trPr>
          <w:trHeight w:val="142"/>
          <w:jc w:val="center"/>
        </w:trPr>
        <w:tc>
          <w:tcPr>
            <w:tcW w:w="10910" w:type="dxa"/>
            <w:gridSpan w:val="27"/>
            <w:shd w:val="clear" w:color="auto" w:fill="99CCFF"/>
          </w:tcPr>
          <w:p w14:paraId="1F2A17AF" w14:textId="77777777" w:rsidR="00761DDB" w:rsidRPr="0035451F" w:rsidRDefault="00761DDB" w:rsidP="0087437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61DDB" w:rsidRPr="0035451F" w14:paraId="64575764" w14:textId="77777777" w:rsidTr="00DD7E8A">
        <w:trPr>
          <w:trHeight w:val="241"/>
          <w:jc w:val="center"/>
        </w:trPr>
        <w:tc>
          <w:tcPr>
            <w:tcW w:w="10910" w:type="dxa"/>
            <w:gridSpan w:val="27"/>
            <w:shd w:val="clear" w:color="auto" w:fill="auto"/>
          </w:tcPr>
          <w:p w14:paraId="7833552B" w14:textId="18FC74AA" w:rsidR="00761DDB" w:rsidRPr="00F57E66" w:rsidRDefault="00356E31" w:rsidP="00874376">
            <w:pPr>
              <w:pStyle w:val="Tekstpodstawowywcity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Projektowana regulacja</w:t>
            </w:r>
            <w:r w:rsidR="00337560">
              <w:rPr>
                <w:sz w:val="22"/>
                <w:szCs w:val="22"/>
              </w:rPr>
              <w:t xml:space="preserve"> nie wywiera wp</w:t>
            </w:r>
            <w:r w:rsidR="00D264E4">
              <w:rPr>
                <w:sz w:val="22"/>
                <w:szCs w:val="22"/>
              </w:rPr>
              <w:t>ływu na rynek pracy.</w:t>
            </w:r>
          </w:p>
        </w:tc>
      </w:tr>
      <w:tr w:rsidR="00761DDB" w:rsidRPr="0035451F" w14:paraId="47BE96DF" w14:textId="77777777" w:rsidTr="00DD7E8A">
        <w:trPr>
          <w:trHeight w:val="142"/>
          <w:jc w:val="center"/>
        </w:trPr>
        <w:tc>
          <w:tcPr>
            <w:tcW w:w="10910" w:type="dxa"/>
            <w:gridSpan w:val="27"/>
            <w:shd w:val="clear" w:color="auto" w:fill="99CCFF"/>
          </w:tcPr>
          <w:p w14:paraId="05C09270" w14:textId="77777777" w:rsidR="00761DDB" w:rsidRPr="0035451F" w:rsidRDefault="00761DDB" w:rsidP="0087437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61DDB" w:rsidRPr="0035451F" w14:paraId="566E9516" w14:textId="77777777" w:rsidTr="00447605">
        <w:trPr>
          <w:trHeight w:val="1031"/>
          <w:jc w:val="center"/>
        </w:trPr>
        <w:tc>
          <w:tcPr>
            <w:tcW w:w="3544" w:type="dxa"/>
            <w:gridSpan w:val="5"/>
            <w:shd w:val="clear" w:color="auto" w:fill="FFFFFF"/>
          </w:tcPr>
          <w:p w14:paraId="75AECE16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E252378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1CE87A4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B365845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1EE54A07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D55BBCB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3700C3">
              <w:rPr>
                <w:rFonts w:ascii="Times New Roman" w:hAnsi="Times New Roman"/>
                <w:color w:val="000000"/>
              </w:rPr>
              <w:t xml:space="preserve"> </w:t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D123F00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679" w:type="dxa"/>
            <w:gridSpan w:val="9"/>
            <w:shd w:val="clear" w:color="auto" w:fill="FFFFFF"/>
          </w:tcPr>
          <w:p w14:paraId="0007BE31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4181373" w14:textId="77777777" w:rsidR="00761DDB" w:rsidRPr="0035451F" w:rsidRDefault="007D0FF7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AAEFEB7" w14:textId="77777777" w:rsidR="00761DDB" w:rsidRPr="0035451F" w:rsidRDefault="001B2119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601E">
              <w:rPr>
                <w:rFonts w:ascii="Times New Roman" w:hAnsi="Times New Roman"/>
                <w:color w:val="000000"/>
              </w:rPr>
            </w:r>
            <w:r w:rsidR="00EA60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</w:t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61DDB" w:rsidRPr="0035451F" w14:paraId="656CB113" w14:textId="77777777" w:rsidTr="00447605">
        <w:trPr>
          <w:trHeight w:val="529"/>
          <w:jc w:val="center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6B5A4854" w14:textId="77777777" w:rsidR="00761DDB" w:rsidRPr="0035451F" w:rsidRDefault="00761DDB" w:rsidP="0087437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70" w:type="dxa"/>
            <w:gridSpan w:val="25"/>
            <w:shd w:val="clear" w:color="auto" w:fill="FFFFFF"/>
            <w:vAlign w:val="center"/>
          </w:tcPr>
          <w:p w14:paraId="0195A878" w14:textId="77777777" w:rsidR="00761DDB" w:rsidRPr="00BF6F8F" w:rsidRDefault="00337560" w:rsidP="00874376">
            <w:pPr>
              <w:pStyle w:val="ARTartustawynprozporzdzenia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Przedmiotowy projekt nie wywiera wpływu na </w:t>
            </w:r>
            <w:r w:rsidR="003700C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pozostałe obszary.</w:t>
            </w:r>
          </w:p>
        </w:tc>
      </w:tr>
      <w:tr w:rsidR="00761DDB" w:rsidRPr="0035451F" w14:paraId="35C58838" w14:textId="77777777" w:rsidTr="00DD7E8A">
        <w:trPr>
          <w:trHeight w:val="142"/>
          <w:jc w:val="center"/>
        </w:trPr>
        <w:tc>
          <w:tcPr>
            <w:tcW w:w="10910" w:type="dxa"/>
            <w:gridSpan w:val="27"/>
            <w:shd w:val="clear" w:color="auto" w:fill="99CCFF"/>
          </w:tcPr>
          <w:p w14:paraId="15D20990" w14:textId="77777777" w:rsidR="00761DDB" w:rsidRPr="0035451F" w:rsidRDefault="00761DDB" w:rsidP="0087437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761DDB" w:rsidRPr="0035451F" w14:paraId="1CCFFE26" w14:textId="77777777" w:rsidTr="00DD7E8A">
        <w:trPr>
          <w:trHeight w:val="142"/>
          <w:jc w:val="center"/>
        </w:trPr>
        <w:tc>
          <w:tcPr>
            <w:tcW w:w="10910" w:type="dxa"/>
            <w:gridSpan w:val="27"/>
            <w:shd w:val="clear" w:color="auto" w:fill="FFFFFF"/>
          </w:tcPr>
          <w:p w14:paraId="76079AF1" w14:textId="1501BA38" w:rsidR="00C377BA" w:rsidRPr="00C377BA" w:rsidRDefault="00C377BA" w:rsidP="00874376">
            <w:pPr>
              <w:spacing w:line="240" w:lineRule="auto"/>
              <w:rPr>
                <w:lang w:eastAsia="pl-PL"/>
              </w:rPr>
            </w:pPr>
            <w:r w:rsidRPr="00C377BA">
              <w:rPr>
                <w:rFonts w:ascii="Times New Roman" w:hAnsi="Times New Roman"/>
                <w:lang w:eastAsia="pl-PL"/>
              </w:rPr>
              <w:t>Rozporządzenie wejdzie w życie z dniem n</w:t>
            </w:r>
            <w:r w:rsidR="00146B6D">
              <w:rPr>
                <w:rFonts w:ascii="Times New Roman" w:hAnsi="Times New Roman"/>
                <w:lang w:eastAsia="pl-PL"/>
              </w:rPr>
              <w:t>astępującym po dniu ogłoszenia.</w:t>
            </w:r>
          </w:p>
        </w:tc>
      </w:tr>
      <w:tr w:rsidR="00761DDB" w:rsidRPr="0035451F" w14:paraId="5C2E341A" w14:textId="77777777" w:rsidTr="00DD7E8A">
        <w:trPr>
          <w:trHeight w:val="142"/>
          <w:jc w:val="center"/>
        </w:trPr>
        <w:tc>
          <w:tcPr>
            <w:tcW w:w="10910" w:type="dxa"/>
            <w:gridSpan w:val="27"/>
            <w:shd w:val="clear" w:color="auto" w:fill="99CCFF"/>
          </w:tcPr>
          <w:p w14:paraId="7255AF2D" w14:textId="77777777" w:rsidR="00761DDB" w:rsidRPr="0035451F" w:rsidRDefault="00761DDB" w:rsidP="0087437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761DDB" w:rsidRPr="0035451F" w14:paraId="3DAB88E2" w14:textId="77777777" w:rsidTr="00DD7E8A">
        <w:trPr>
          <w:trHeight w:val="142"/>
          <w:jc w:val="center"/>
        </w:trPr>
        <w:tc>
          <w:tcPr>
            <w:tcW w:w="10910" w:type="dxa"/>
            <w:gridSpan w:val="27"/>
            <w:shd w:val="clear" w:color="auto" w:fill="FFFFFF"/>
          </w:tcPr>
          <w:p w14:paraId="4E42B01B" w14:textId="77777777" w:rsidR="00E43530" w:rsidRDefault="00E43530" w:rsidP="0087437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Ewaluacja efektów pilotażu nastąpi w oparciu o następujące wskaźniki:</w:t>
            </w:r>
          </w:p>
          <w:p w14:paraId="3715D583" w14:textId="77777777" w:rsidR="00E43530" w:rsidRPr="00E43530" w:rsidRDefault="00E43530" w:rsidP="00874376">
            <w:pPr>
              <w:pStyle w:val="PKTpunk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E435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liczba świadczeniobiorców włączonych do pilotażu;</w:t>
            </w:r>
          </w:p>
          <w:p w14:paraId="5BACC86C" w14:textId="77777777" w:rsidR="00E43530" w:rsidRPr="00E43530" w:rsidRDefault="00E43530" w:rsidP="00874376">
            <w:pPr>
              <w:pStyle w:val="PKTpunk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E435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liczba świadczeniobiorców objętych pilotażem, u których zakończono leczenie onkologiczne;</w:t>
            </w:r>
          </w:p>
          <w:p w14:paraId="0E91BC2B" w14:textId="77777777" w:rsidR="00E43530" w:rsidRPr="00E43530" w:rsidRDefault="00E43530" w:rsidP="00874376">
            <w:pPr>
              <w:pStyle w:val="PKTpunk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E435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liczba zwołanych wielodyscyplinarnych zespołów terapeutycznych;</w:t>
            </w:r>
          </w:p>
          <w:p w14:paraId="07EC6470" w14:textId="77777777" w:rsidR="00E43530" w:rsidRPr="00E43530" w:rsidRDefault="00E43530" w:rsidP="00874376">
            <w:pPr>
              <w:pStyle w:val="PKTpunk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E435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liczba wielodyscyplinarnych zespołów terapeutycznych, których prace prowadzone były z wykorzystaniem systemów teleinformatycznych, środków komunikacji elektronicznej lub publicznie dostępnych usług telekomunikacyjnych;</w:t>
            </w:r>
          </w:p>
          <w:p w14:paraId="12D5D39D" w14:textId="7DFC095B" w:rsidR="00E43530" w:rsidRPr="00E43530" w:rsidRDefault="00E43530" w:rsidP="00874376">
            <w:pPr>
              <w:pStyle w:val="PKTpunk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E435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liczba porad i konsultacji przeprowadzonych przez ośrodek koordynujący na zlecenie ośrodków </w:t>
            </w:r>
            <w:r w:rsidR="00DD7E8A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współpracujących </w:t>
            </w:r>
            <w:r w:rsidRPr="00E435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 i II poziomu;</w:t>
            </w:r>
          </w:p>
          <w:p w14:paraId="3023E6FB" w14:textId="5259C5F1" w:rsidR="00E43530" w:rsidRPr="00E43530" w:rsidRDefault="00E43530" w:rsidP="00874376">
            <w:pPr>
              <w:pStyle w:val="PKTpunk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E435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liczba połączeń telefonicznych w ramach obsługi świad</w:t>
            </w:r>
            <w:r w:rsidR="00443733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czeniobiorcy (w ciągu miesiąca)</w:t>
            </w:r>
            <w:r w:rsidRPr="00E435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;</w:t>
            </w:r>
          </w:p>
          <w:p w14:paraId="6C6106D2" w14:textId="77777777" w:rsidR="00E43530" w:rsidRPr="00E43530" w:rsidRDefault="00E43530" w:rsidP="00874376">
            <w:pPr>
              <w:pStyle w:val="PKTpunk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E435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ocena satysfakcji świadczeniobiorców ze sprawowanej opieki, w oparciu o ankiety;</w:t>
            </w:r>
          </w:p>
          <w:p w14:paraId="50CA6C94" w14:textId="281465B1" w:rsidR="00DD7E8A" w:rsidRPr="00DD7E8A" w:rsidRDefault="00DD7E8A" w:rsidP="00874376">
            <w:pPr>
              <w:pStyle w:val="PKTpunk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DD7E8A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wartość środków finansowych poniesionych na realizację pilotażu w stosunku do środków finansowych planowanych </w:t>
            </w:r>
            <w:r w:rsidR="00356E3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br/>
            </w:r>
            <w:r w:rsidRPr="00DD7E8A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na jego realizację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</w:t>
            </w:r>
          </w:p>
          <w:p w14:paraId="63DEABD7" w14:textId="318E0788" w:rsidR="002C0FF9" w:rsidRPr="002C0FF9" w:rsidRDefault="002C0FF9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Dodatkowo przeprowadzona zostanie o</w:t>
            </w:r>
            <w:r w:rsidRPr="002C0FF9">
              <w:rPr>
                <w:rFonts w:ascii="Times New Roman" w:hAnsi="Times New Roman"/>
                <w:color w:val="000000"/>
                <w:spacing w:val="-2"/>
              </w:rPr>
              <w:t xml:space="preserve">cena jakości opieki nad świadczeniobiorcą w ramach sieci onkologicznej </w:t>
            </w:r>
            <w:r w:rsidR="00356E31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2C0FF9">
              <w:rPr>
                <w:rFonts w:ascii="Times New Roman" w:hAnsi="Times New Roman"/>
                <w:color w:val="000000"/>
                <w:spacing w:val="-2"/>
              </w:rPr>
              <w:t>z uwzględnieniem co najmniej następujących mierników:</w:t>
            </w:r>
          </w:p>
          <w:p w14:paraId="70734C24" w14:textId="1C8E546C" w:rsidR="002C0FF9" w:rsidRPr="002C0FF9" w:rsidRDefault="002C0FF9" w:rsidP="00874376">
            <w:pPr>
              <w:pStyle w:val="PKTpunk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odsetka zgonów w ciągu 30 dni od daty przeprowadzenia zabiegu operacyjnego</w:t>
            </w:r>
            <w:r w:rsidR="00DD7E8A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,</w:t>
            </w:r>
            <w:r w:rsidR="00DD7E8A" w:rsidRPr="00DD7E8A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 podziale na stopnie zaawansowania nowotworu</w:t>
            </w: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;</w:t>
            </w:r>
          </w:p>
          <w:p w14:paraId="123CF6A5" w14:textId="148AA2AA" w:rsidR="002C0FF9" w:rsidRPr="00DD7E8A" w:rsidRDefault="002C0FF9" w:rsidP="00874376">
            <w:pPr>
              <w:pStyle w:val="PKTpunk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odsetka zgonów w ciągu roku od r</w:t>
            </w:r>
            <w:r w:rsidR="00DD7E8A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ozpoznania choroby nowotworowej, </w:t>
            </w:r>
            <w:r w:rsidR="00DD7E8A" w:rsidRPr="00DD7E8A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 podziale na stopnie zaawansowania nowotworu</w:t>
            </w:r>
            <w:r w:rsidR="00DD7E8A"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;</w:t>
            </w:r>
          </w:p>
          <w:p w14:paraId="47CECB44" w14:textId="39940120" w:rsidR="002C0FF9" w:rsidRPr="00DD7E8A" w:rsidRDefault="002C0FF9" w:rsidP="00874376">
            <w:pPr>
              <w:pStyle w:val="PKTpunk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odsetka zgonów w ciągu 30 dni od daty zakoń</w:t>
            </w:r>
            <w:r w:rsidR="00DD7E8A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czenia radioterapii paliatywnej, </w:t>
            </w:r>
            <w:r w:rsidR="00DD7E8A" w:rsidRPr="00DD7E8A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 podziale na stopnie zaawansowania nowotworu</w:t>
            </w:r>
            <w:r w:rsidR="00DD7E8A"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;</w:t>
            </w:r>
          </w:p>
          <w:p w14:paraId="6358D9CD" w14:textId="77777777" w:rsidR="002C0FF9" w:rsidRPr="002C0FF9" w:rsidRDefault="002C0FF9" w:rsidP="00874376">
            <w:pPr>
              <w:pStyle w:val="PKTpunk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odsetka świadczeniobiorców, którzy ukończyli leczenie onkologiczne zgodnie z ustalonym planem leczenia; </w:t>
            </w:r>
          </w:p>
          <w:p w14:paraId="62A86F1A" w14:textId="30C3BC5B" w:rsidR="002C0FF9" w:rsidRPr="002C0FF9" w:rsidRDefault="002C0FF9" w:rsidP="00874376">
            <w:pPr>
              <w:pStyle w:val="PKTpunk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odsetka świadczeniobiorców wymagających ponownej, nieplanowanej hospitalizacji w okresie 30 dni od daty wypisu </w:t>
            </w:r>
            <w:r w:rsidR="00356E3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br/>
            </w: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ze szpitala; </w:t>
            </w:r>
          </w:p>
          <w:p w14:paraId="72BB2C48" w14:textId="77777777" w:rsidR="002C0FF9" w:rsidRPr="002C0FF9" w:rsidRDefault="002C0FF9" w:rsidP="00874376">
            <w:pPr>
              <w:pStyle w:val="PKTpunk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odsetka świadczeniobiorców wymagających hospitalizacji z powodu powikłań po radioterapii onkologicznej; </w:t>
            </w:r>
          </w:p>
          <w:p w14:paraId="119EBF52" w14:textId="77777777" w:rsidR="002C0FF9" w:rsidRPr="002C0FF9" w:rsidRDefault="002C0FF9" w:rsidP="00874376">
            <w:pPr>
              <w:pStyle w:val="PKTpunk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odsetka świadczeniobiorców, u których wykonano badania genetycznych i molekularnych czynników predykcyjnych; </w:t>
            </w:r>
          </w:p>
          <w:p w14:paraId="121E5554" w14:textId="77777777" w:rsidR="002C0FF9" w:rsidRPr="002C0FF9" w:rsidRDefault="002C0FF9" w:rsidP="00874376">
            <w:pPr>
              <w:pStyle w:val="PKTpunk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odsetka świadczeniobiorców, którzy otrzymali chemioterapię w trybie hospitalizacji stacjonarnej; </w:t>
            </w:r>
          </w:p>
          <w:p w14:paraId="30BC3542" w14:textId="77777777" w:rsidR="002C0FF9" w:rsidRPr="002C0FF9" w:rsidRDefault="002C0FF9" w:rsidP="00874376">
            <w:pPr>
              <w:pStyle w:val="PKTpunk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czasu od przeprowadzenia wielodyscyplinarnego zespołu terapeutycznego do rozpoczęcia pierwszego etapu leczenia; </w:t>
            </w:r>
          </w:p>
          <w:p w14:paraId="3F53F23A" w14:textId="77777777" w:rsidR="002C0FF9" w:rsidRPr="002C0FF9" w:rsidRDefault="002C0FF9" w:rsidP="00874376">
            <w:pPr>
              <w:pStyle w:val="PKTpunk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odsetka kompletnych diagnostyk wstępnych i pogłębionych;</w:t>
            </w:r>
          </w:p>
          <w:p w14:paraId="12807F54" w14:textId="77777777" w:rsidR="002C0FF9" w:rsidRPr="002C0FF9" w:rsidRDefault="002C0FF9" w:rsidP="00874376">
            <w:pPr>
              <w:pStyle w:val="PKTpunk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odsetka świadczeniobiorców z III i IV stopniem zaawansowania nowotworu;</w:t>
            </w:r>
          </w:p>
          <w:p w14:paraId="3A6C329E" w14:textId="2C543B28" w:rsidR="002C0FF9" w:rsidRPr="002C0FF9" w:rsidRDefault="002C0FF9" w:rsidP="00874376">
            <w:pPr>
              <w:pStyle w:val="PKTpunk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C0FF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czasu od daty skierowania świadczeniobiorcy na badanie diagnostyczne (obrazowe lub patomorfologiczne) do uzyskania wyniku. </w:t>
            </w:r>
          </w:p>
          <w:p w14:paraId="78E9D55F" w14:textId="5886686F" w:rsidR="00761DDB" w:rsidRPr="0035451F" w:rsidRDefault="006D47ED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64E4">
              <w:rPr>
                <w:rFonts w:ascii="Times New Roman" w:hAnsi="Times New Roman"/>
                <w:color w:val="000000"/>
                <w:spacing w:val="-2"/>
              </w:rPr>
              <w:t xml:space="preserve">Pomiar wskaźników oraz ocena wyników programu pilotażowego zostanie dokonana przez </w:t>
            </w:r>
            <w:r w:rsidR="0015513D" w:rsidRPr="00D264E4">
              <w:rPr>
                <w:rFonts w:ascii="Times New Roman" w:hAnsi="Times New Roman"/>
                <w:color w:val="000000"/>
                <w:spacing w:val="-2"/>
              </w:rPr>
              <w:t xml:space="preserve">Narodowy </w:t>
            </w:r>
            <w:r w:rsidRPr="00D264E4">
              <w:rPr>
                <w:rFonts w:ascii="Times New Roman" w:hAnsi="Times New Roman"/>
                <w:color w:val="000000"/>
                <w:spacing w:val="-2"/>
              </w:rPr>
              <w:t xml:space="preserve">Fundusz </w:t>
            </w:r>
            <w:r w:rsidR="0015513D" w:rsidRPr="00D264E4">
              <w:rPr>
                <w:rFonts w:ascii="Times New Roman" w:hAnsi="Times New Roman"/>
                <w:color w:val="000000"/>
                <w:spacing w:val="-2"/>
              </w:rPr>
              <w:t xml:space="preserve">Zdrowia </w:t>
            </w:r>
            <w:r w:rsidR="005F06FB">
              <w:rPr>
                <w:rFonts w:ascii="Times New Roman" w:hAnsi="Times New Roman"/>
                <w:color w:val="000000"/>
                <w:spacing w:val="-2"/>
              </w:rPr>
              <w:br/>
            </w:r>
            <w:r w:rsidR="0015513D" w:rsidRPr="00D264E4">
              <w:rPr>
                <w:rFonts w:ascii="Times New Roman" w:hAnsi="Times New Roman"/>
                <w:color w:val="000000"/>
                <w:spacing w:val="-2"/>
              </w:rPr>
              <w:t xml:space="preserve">na podstawie </w:t>
            </w:r>
            <w:r w:rsidR="00D264E4">
              <w:rPr>
                <w:rFonts w:ascii="Times New Roman" w:hAnsi="Times New Roman"/>
                <w:color w:val="000000"/>
                <w:spacing w:val="-2"/>
              </w:rPr>
              <w:t>sprawozda</w:t>
            </w:r>
            <w:r w:rsidR="005F06FB">
              <w:rPr>
                <w:rFonts w:ascii="Times New Roman" w:hAnsi="Times New Roman"/>
                <w:color w:val="000000"/>
                <w:spacing w:val="-2"/>
              </w:rPr>
              <w:t xml:space="preserve">ń </w:t>
            </w:r>
            <w:r w:rsidR="00D264E4">
              <w:rPr>
                <w:rFonts w:ascii="Times New Roman" w:hAnsi="Times New Roman"/>
                <w:color w:val="000000"/>
                <w:spacing w:val="-2"/>
              </w:rPr>
              <w:t>z realizacji pilotażu.</w:t>
            </w:r>
          </w:p>
        </w:tc>
      </w:tr>
      <w:tr w:rsidR="00761DDB" w:rsidRPr="0035451F" w14:paraId="73185ED2" w14:textId="77777777" w:rsidTr="00DD7E8A">
        <w:trPr>
          <w:trHeight w:val="142"/>
          <w:jc w:val="center"/>
        </w:trPr>
        <w:tc>
          <w:tcPr>
            <w:tcW w:w="10910" w:type="dxa"/>
            <w:gridSpan w:val="27"/>
            <w:shd w:val="clear" w:color="auto" w:fill="99CCFF"/>
          </w:tcPr>
          <w:p w14:paraId="78AF2B2D" w14:textId="77777777" w:rsidR="00761DDB" w:rsidRPr="0035451F" w:rsidRDefault="00761DDB" w:rsidP="0087437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35451F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61DDB" w:rsidRPr="0035451F" w14:paraId="10E721CD" w14:textId="77777777" w:rsidTr="00DD7E8A">
        <w:trPr>
          <w:trHeight w:val="264"/>
          <w:jc w:val="center"/>
        </w:trPr>
        <w:tc>
          <w:tcPr>
            <w:tcW w:w="10910" w:type="dxa"/>
            <w:gridSpan w:val="27"/>
            <w:shd w:val="clear" w:color="auto" w:fill="FFFFFF"/>
          </w:tcPr>
          <w:p w14:paraId="08FA99B3" w14:textId="77777777" w:rsidR="00761DDB" w:rsidRPr="0035451F" w:rsidRDefault="000B12FC" w:rsidP="0087437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E086AAD" w14:textId="77777777" w:rsidR="006176ED" w:rsidRPr="0035451F" w:rsidRDefault="006176ED" w:rsidP="00874376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6176ED" w:rsidRPr="0035451F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FBE92" w14:textId="77777777" w:rsidR="00EA601E" w:rsidRDefault="00EA601E" w:rsidP="00044739">
      <w:pPr>
        <w:spacing w:line="240" w:lineRule="auto"/>
      </w:pPr>
      <w:r>
        <w:separator/>
      </w:r>
    </w:p>
  </w:endnote>
  <w:endnote w:type="continuationSeparator" w:id="0">
    <w:p w14:paraId="5570602C" w14:textId="77777777" w:rsidR="00EA601E" w:rsidRDefault="00EA601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7879C" w14:textId="77777777" w:rsidR="00EA601E" w:rsidRDefault="00EA601E" w:rsidP="00044739">
      <w:pPr>
        <w:spacing w:line="240" w:lineRule="auto"/>
      </w:pPr>
      <w:r>
        <w:separator/>
      </w:r>
    </w:p>
  </w:footnote>
  <w:footnote w:type="continuationSeparator" w:id="0">
    <w:p w14:paraId="3F13FA6F" w14:textId="77777777" w:rsidR="00EA601E" w:rsidRDefault="00EA601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1167FE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4BA2"/>
    <w:multiLevelType w:val="hybridMultilevel"/>
    <w:tmpl w:val="7082A2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52AEC"/>
    <w:multiLevelType w:val="hybridMultilevel"/>
    <w:tmpl w:val="D74E5B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>
    <w:nsid w:val="180D6CD2"/>
    <w:multiLevelType w:val="hybridMultilevel"/>
    <w:tmpl w:val="21180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C0737"/>
    <w:multiLevelType w:val="hybridMultilevel"/>
    <w:tmpl w:val="F3A6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52275"/>
    <w:multiLevelType w:val="hybridMultilevel"/>
    <w:tmpl w:val="18888A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571BC"/>
    <w:multiLevelType w:val="hybridMultilevel"/>
    <w:tmpl w:val="FEB065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40CB5FED"/>
    <w:multiLevelType w:val="hybridMultilevel"/>
    <w:tmpl w:val="645CAD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2">
    <w:nsid w:val="50395670"/>
    <w:multiLevelType w:val="hybridMultilevel"/>
    <w:tmpl w:val="B0AE8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5597B28"/>
    <w:multiLevelType w:val="hybridMultilevel"/>
    <w:tmpl w:val="15D2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A2CE9"/>
    <w:multiLevelType w:val="hybridMultilevel"/>
    <w:tmpl w:val="C9C28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F9B1037"/>
    <w:multiLevelType w:val="hybridMultilevel"/>
    <w:tmpl w:val="AE7A1A2A"/>
    <w:lvl w:ilvl="0" w:tplc="02607F6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F428D9"/>
    <w:multiLevelType w:val="hybridMultilevel"/>
    <w:tmpl w:val="6F78DF3E"/>
    <w:lvl w:ilvl="0" w:tplc="F00C82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876D4"/>
    <w:multiLevelType w:val="hybridMultilevel"/>
    <w:tmpl w:val="3AA4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31"/>
  </w:num>
  <w:num w:numId="5">
    <w:abstractNumId w:val="4"/>
  </w:num>
  <w:num w:numId="6">
    <w:abstractNumId w:val="12"/>
  </w:num>
  <w:num w:numId="7">
    <w:abstractNumId w:val="20"/>
  </w:num>
  <w:num w:numId="8">
    <w:abstractNumId w:val="8"/>
  </w:num>
  <w:num w:numId="9">
    <w:abstractNumId w:val="24"/>
  </w:num>
  <w:num w:numId="10">
    <w:abstractNumId w:val="18"/>
  </w:num>
  <w:num w:numId="11">
    <w:abstractNumId w:val="21"/>
  </w:num>
  <w:num w:numId="12">
    <w:abstractNumId w:val="5"/>
  </w:num>
  <w:num w:numId="13">
    <w:abstractNumId w:val="17"/>
  </w:num>
  <w:num w:numId="14">
    <w:abstractNumId w:val="32"/>
  </w:num>
  <w:num w:numId="15">
    <w:abstractNumId w:val="27"/>
  </w:num>
  <w:num w:numId="16">
    <w:abstractNumId w:val="30"/>
  </w:num>
  <w:num w:numId="17">
    <w:abstractNumId w:val="9"/>
  </w:num>
  <w:num w:numId="18">
    <w:abstractNumId w:val="36"/>
  </w:num>
  <w:num w:numId="19">
    <w:abstractNumId w:val="38"/>
  </w:num>
  <w:num w:numId="20">
    <w:abstractNumId w:val="28"/>
  </w:num>
  <w:num w:numId="21">
    <w:abstractNumId w:val="10"/>
  </w:num>
  <w:num w:numId="22">
    <w:abstractNumId w:val="23"/>
  </w:num>
  <w:num w:numId="23">
    <w:abstractNumId w:val="11"/>
  </w:num>
  <w:num w:numId="24">
    <w:abstractNumId w:val="33"/>
  </w:num>
  <w:num w:numId="25">
    <w:abstractNumId w:val="37"/>
  </w:num>
  <w:num w:numId="26">
    <w:abstractNumId w:val="6"/>
  </w:num>
  <w:num w:numId="27">
    <w:abstractNumId w:val="13"/>
  </w:num>
  <w:num w:numId="28">
    <w:abstractNumId w:val="35"/>
  </w:num>
  <w:num w:numId="29">
    <w:abstractNumId w:val="25"/>
  </w:num>
  <w:num w:numId="30">
    <w:abstractNumId w:val="2"/>
  </w:num>
  <w:num w:numId="31">
    <w:abstractNumId w:val="29"/>
  </w:num>
  <w:num w:numId="32">
    <w:abstractNumId w:val="16"/>
  </w:num>
  <w:num w:numId="33">
    <w:abstractNumId w:val="19"/>
  </w:num>
  <w:num w:numId="34">
    <w:abstractNumId w:val="26"/>
  </w:num>
  <w:num w:numId="35">
    <w:abstractNumId w:val="3"/>
  </w:num>
  <w:num w:numId="36">
    <w:abstractNumId w:val="0"/>
  </w:num>
  <w:num w:numId="37">
    <w:abstractNumId w:val="34"/>
  </w:num>
  <w:num w:numId="38">
    <w:abstractNumId w:val="22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0FF"/>
    <w:rsid w:val="000008E5"/>
    <w:rsid w:val="000015EE"/>
    <w:rsid w:val="00001AF5"/>
    <w:rsid w:val="000022D5"/>
    <w:rsid w:val="00004C6A"/>
    <w:rsid w:val="00010AB0"/>
    <w:rsid w:val="00012D11"/>
    <w:rsid w:val="00013918"/>
    <w:rsid w:val="00013EB5"/>
    <w:rsid w:val="00013F37"/>
    <w:rsid w:val="00015794"/>
    <w:rsid w:val="00023836"/>
    <w:rsid w:val="000339F1"/>
    <w:rsid w:val="00034F9D"/>
    <w:rsid w:val="000356A9"/>
    <w:rsid w:val="0004295B"/>
    <w:rsid w:val="00044138"/>
    <w:rsid w:val="00044739"/>
    <w:rsid w:val="00051637"/>
    <w:rsid w:val="00052968"/>
    <w:rsid w:val="00055268"/>
    <w:rsid w:val="00056681"/>
    <w:rsid w:val="000601CF"/>
    <w:rsid w:val="000648A7"/>
    <w:rsid w:val="0006618B"/>
    <w:rsid w:val="000670C0"/>
    <w:rsid w:val="00067C6E"/>
    <w:rsid w:val="00071B99"/>
    <w:rsid w:val="000742A1"/>
    <w:rsid w:val="000756E5"/>
    <w:rsid w:val="0007704E"/>
    <w:rsid w:val="000807D7"/>
    <w:rsid w:val="00080EC8"/>
    <w:rsid w:val="00080FE4"/>
    <w:rsid w:val="000944AC"/>
    <w:rsid w:val="00094CB9"/>
    <w:rsid w:val="00094E3C"/>
    <w:rsid w:val="000956B2"/>
    <w:rsid w:val="000A0082"/>
    <w:rsid w:val="000A14BF"/>
    <w:rsid w:val="000A23DE"/>
    <w:rsid w:val="000A4020"/>
    <w:rsid w:val="000A6F7D"/>
    <w:rsid w:val="000B12FC"/>
    <w:rsid w:val="000B2ABD"/>
    <w:rsid w:val="000B54FB"/>
    <w:rsid w:val="000C197F"/>
    <w:rsid w:val="000C29B0"/>
    <w:rsid w:val="000C63BB"/>
    <w:rsid w:val="000C76FC"/>
    <w:rsid w:val="000D38FC"/>
    <w:rsid w:val="000D4D90"/>
    <w:rsid w:val="000E00DD"/>
    <w:rsid w:val="000E2D10"/>
    <w:rsid w:val="000E5408"/>
    <w:rsid w:val="000F3204"/>
    <w:rsid w:val="00100C35"/>
    <w:rsid w:val="00104B4B"/>
    <w:rsid w:val="0010548B"/>
    <w:rsid w:val="00105E6B"/>
    <w:rsid w:val="001072D1"/>
    <w:rsid w:val="00113231"/>
    <w:rsid w:val="00113275"/>
    <w:rsid w:val="00113DED"/>
    <w:rsid w:val="00114507"/>
    <w:rsid w:val="00117017"/>
    <w:rsid w:val="001179A3"/>
    <w:rsid w:val="00130E8E"/>
    <w:rsid w:val="00131B2F"/>
    <w:rsid w:val="0013216E"/>
    <w:rsid w:val="00133C53"/>
    <w:rsid w:val="001401B5"/>
    <w:rsid w:val="001422B9"/>
    <w:rsid w:val="0014665F"/>
    <w:rsid w:val="00146B6D"/>
    <w:rsid w:val="0014784F"/>
    <w:rsid w:val="00153464"/>
    <w:rsid w:val="001541B3"/>
    <w:rsid w:val="0015513D"/>
    <w:rsid w:val="001553B2"/>
    <w:rsid w:val="00155B15"/>
    <w:rsid w:val="00155E4C"/>
    <w:rsid w:val="001625BE"/>
    <w:rsid w:val="001632FE"/>
    <w:rsid w:val="001643A4"/>
    <w:rsid w:val="001727BB"/>
    <w:rsid w:val="00180D25"/>
    <w:rsid w:val="0018318D"/>
    <w:rsid w:val="0018572C"/>
    <w:rsid w:val="001861E5"/>
    <w:rsid w:val="00186882"/>
    <w:rsid w:val="00187E79"/>
    <w:rsid w:val="00187F0D"/>
    <w:rsid w:val="001926F0"/>
    <w:rsid w:val="00192CC5"/>
    <w:rsid w:val="001956A7"/>
    <w:rsid w:val="001964AE"/>
    <w:rsid w:val="00196AA4"/>
    <w:rsid w:val="001A118A"/>
    <w:rsid w:val="001A27F4"/>
    <w:rsid w:val="001A2D95"/>
    <w:rsid w:val="001B2119"/>
    <w:rsid w:val="001B3460"/>
    <w:rsid w:val="001B4793"/>
    <w:rsid w:val="001B4CA1"/>
    <w:rsid w:val="001B75D8"/>
    <w:rsid w:val="001C1060"/>
    <w:rsid w:val="001C3C63"/>
    <w:rsid w:val="001D4732"/>
    <w:rsid w:val="001D6A3C"/>
    <w:rsid w:val="001D6D51"/>
    <w:rsid w:val="001E614D"/>
    <w:rsid w:val="001F0B08"/>
    <w:rsid w:val="001F64BD"/>
    <w:rsid w:val="001F6979"/>
    <w:rsid w:val="00202BC6"/>
    <w:rsid w:val="00202E51"/>
    <w:rsid w:val="00205141"/>
    <w:rsid w:val="0020516B"/>
    <w:rsid w:val="0021257D"/>
    <w:rsid w:val="00213559"/>
    <w:rsid w:val="00213EFD"/>
    <w:rsid w:val="00217029"/>
    <w:rsid w:val="002172F1"/>
    <w:rsid w:val="00220236"/>
    <w:rsid w:val="00221AEC"/>
    <w:rsid w:val="00222567"/>
    <w:rsid w:val="00223C7B"/>
    <w:rsid w:val="00223D94"/>
    <w:rsid w:val="00224AB1"/>
    <w:rsid w:val="0022687A"/>
    <w:rsid w:val="0023040F"/>
    <w:rsid w:val="00230728"/>
    <w:rsid w:val="00233A4A"/>
    <w:rsid w:val="00234040"/>
    <w:rsid w:val="00235CD2"/>
    <w:rsid w:val="00241B65"/>
    <w:rsid w:val="00243F31"/>
    <w:rsid w:val="00252E18"/>
    <w:rsid w:val="00254DED"/>
    <w:rsid w:val="00255619"/>
    <w:rsid w:val="00255DAD"/>
    <w:rsid w:val="00256108"/>
    <w:rsid w:val="00260F33"/>
    <w:rsid w:val="002613BD"/>
    <w:rsid w:val="002624F1"/>
    <w:rsid w:val="00264BF5"/>
    <w:rsid w:val="002709C4"/>
    <w:rsid w:val="00270C81"/>
    <w:rsid w:val="00271558"/>
    <w:rsid w:val="00274862"/>
    <w:rsid w:val="00274BC4"/>
    <w:rsid w:val="00282D72"/>
    <w:rsid w:val="00283402"/>
    <w:rsid w:val="00283AEF"/>
    <w:rsid w:val="002879C7"/>
    <w:rsid w:val="00290FD6"/>
    <w:rsid w:val="00294259"/>
    <w:rsid w:val="002947F9"/>
    <w:rsid w:val="00297C99"/>
    <w:rsid w:val="002A2C81"/>
    <w:rsid w:val="002A6C5F"/>
    <w:rsid w:val="002B1E9C"/>
    <w:rsid w:val="002B2727"/>
    <w:rsid w:val="002B3D1A"/>
    <w:rsid w:val="002B461B"/>
    <w:rsid w:val="002C0FF9"/>
    <w:rsid w:val="002C2C9B"/>
    <w:rsid w:val="002C38EE"/>
    <w:rsid w:val="002C50A2"/>
    <w:rsid w:val="002D17D6"/>
    <w:rsid w:val="002D18D7"/>
    <w:rsid w:val="002D21CE"/>
    <w:rsid w:val="002D6B53"/>
    <w:rsid w:val="002E3DA3"/>
    <w:rsid w:val="002E450F"/>
    <w:rsid w:val="002E6B38"/>
    <w:rsid w:val="002E6D63"/>
    <w:rsid w:val="002E6E2B"/>
    <w:rsid w:val="002F500B"/>
    <w:rsid w:val="002F5B1E"/>
    <w:rsid w:val="0030096F"/>
    <w:rsid w:val="00301959"/>
    <w:rsid w:val="00305B8A"/>
    <w:rsid w:val="00306FB6"/>
    <w:rsid w:val="0031045C"/>
    <w:rsid w:val="00315D74"/>
    <w:rsid w:val="003175E0"/>
    <w:rsid w:val="0032125D"/>
    <w:rsid w:val="00323074"/>
    <w:rsid w:val="00324287"/>
    <w:rsid w:val="00325864"/>
    <w:rsid w:val="00331BF9"/>
    <w:rsid w:val="0033495E"/>
    <w:rsid w:val="00334A79"/>
    <w:rsid w:val="00334D8D"/>
    <w:rsid w:val="00337345"/>
    <w:rsid w:val="00337560"/>
    <w:rsid w:val="00337DD2"/>
    <w:rsid w:val="003404D1"/>
    <w:rsid w:val="00340C22"/>
    <w:rsid w:val="00342C9F"/>
    <w:rsid w:val="003443FF"/>
    <w:rsid w:val="0034555F"/>
    <w:rsid w:val="0035067D"/>
    <w:rsid w:val="0035451F"/>
    <w:rsid w:val="00355808"/>
    <w:rsid w:val="00356E31"/>
    <w:rsid w:val="003603C4"/>
    <w:rsid w:val="0036166B"/>
    <w:rsid w:val="00362C7E"/>
    <w:rsid w:val="00363601"/>
    <w:rsid w:val="00370031"/>
    <w:rsid w:val="003700C3"/>
    <w:rsid w:val="00371C8D"/>
    <w:rsid w:val="003743E8"/>
    <w:rsid w:val="00376AC9"/>
    <w:rsid w:val="003866D2"/>
    <w:rsid w:val="0039203F"/>
    <w:rsid w:val="003923CB"/>
    <w:rsid w:val="00393032"/>
    <w:rsid w:val="00394AA6"/>
    <w:rsid w:val="00394B69"/>
    <w:rsid w:val="00394FE7"/>
    <w:rsid w:val="00396937"/>
    <w:rsid w:val="00397078"/>
    <w:rsid w:val="003A6953"/>
    <w:rsid w:val="003B10F5"/>
    <w:rsid w:val="003B6083"/>
    <w:rsid w:val="003C3148"/>
    <w:rsid w:val="003C3838"/>
    <w:rsid w:val="003C5847"/>
    <w:rsid w:val="003C7863"/>
    <w:rsid w:val="003D0681"/>
    <w:rsid w:val="003D12F6"/>
    <w:rsid w:val="003D1426"/>
    <w:rsid w:val="003D23D7"/>
    <w:rsid w:val="003D3E19"/>
    <w:rsid w:val="003D40B4"/>
    <w:rsid w:val="003D54A6"/>
    <w:rsid w:val="003D678D"/>
    <w:rsid w:val="003D6A77"/>
    <w:rsid w:val="003E2F4E"/>
    <w:rsid w:val="003E720A"/>
    <w:rsid w:val="003F0FAF"/>
    <w:rsid w:val="003F2B6C"/>
    <w:rsid w:val="00403252"/>
    <w:rsid w:val="00403E6E"/>
    <w:rsid w:val="004049F9"/>
    <w:rsid w:val="004129B4"/>
    <w:rsid w:val="00413D2C"/>
    <w:rsid w:val="004157C4"/>
    <w:rsid w:val="00415D71"/>
    <w:rsid w:val="00417EF0"/>
    <w:rsid w:val="004210B2"/>
    <w:rsid w:val="0042132F"/>
    <w:rsid w:val="00422181"/>
    <w:rsid w:val="004244A8"/>
    <w:rsid w:val="00425F72"/>
    <w:rsid w:val="00427736"/>
    <w:rsid w:val="00441787"/>
    <w:rsid w:val="00443733"/>
    <w:rsid w:val="00444F2D"/>
    <w:rsid w:val="00447605"/>
    <w:rsid w:val="00451632"/>
    <w:rsid w:val="0045165B"/>
    <w:rsid w:val="00452034"/>
    <w:rsid w:val="00455FA6"/>
    <w:rsid w:val="00456A9D"/>
    <w:rsid w:val="00466806"/>
    <w:rsid w:val="00466C70"/>
    <w:rsid w:val="00467887"/>
    <w:rsid w:val="004702C9"/>
    <w:rsid w:val="00472E45"/>
    <w:rsid w:val="00473FEA"/>
    <w:rsid w:val="004745BE"/>
    <w:rsid w:val="0047579D"/>
    <w:rsid w:val="00483262"/>
    <w:rsid w:val="00483FF3"/>
    <w:rsid w:val="00484107"/>
    <w:rsid w:val="00485CC5"/>
    <w:rsid w:val="0049343F"/>
    <w:rsid w:val="00495B77"/>
    <w:rsid w:val="004964FC"/>
    <w:rsid w:val="004A0E4C"/>
    <w:rsid w:val="004A0F4E"/>
    <w:rsid w:val="004A145E"/>
    <w:rsid w:val="004A1F15"/>
    <w:rsid w:val="004A2944"/>
    <w:rsid w:val="004A2A81"/>
    <w:rsid w:val="004A46E2"/>
    <w:rsid w:val="004A7BD7"/>
    <w:rsid w:val="004B12EB"/>
    <w:rsid w:val="004B2CF9"/>
    <w:rsid w:val="004B445D"/>
    <w:rsid w:val="004C15C2"/>
    <w:rsid w:val="004C20EC"/>
    <w:rsid w:val="004C36D8"/>
    <w:rsid w:val="004C66EC"/>
    <w:rsid w:val="004C6D0D"/>
    <w:rsid w:val="004D1248"/>
    <w:rsid w:val="004D1E3C"/>
    <w:rsid w:val="004D4169"/>
    <w:rsid w:val="004D6E14"/>
    <w:rsid w:val="004D734D"/>
    <w:rsid w:val="004E0559"/>
    <w:rsid w:val="004F0DA4"/>
    <w:rsid w:val="004F4756"/>
    <w:rsid w:val="004F4E17"/>
    <w:rsid w:val="0050082F"/>
    <w:rsid w:val="00500C56"/>
    <w:rsid w:val="00501713"/>
    <w:rsid w:val="00506568"/>
    <w:rsid w:val="00510C0C"/>
    <w:rsid w:val="0051551B"/>
    <w:rsid w:val="00520C57"/>
    <w:rsid w:val="00522B79"/>
    <w:rsid w:val="00522D94"/>
    <w:rsid w:val="005251E3"/>
    <w:rsid w:val="00531F14"/>
    <w:rsid w:val="00533D51"/>
    <w:rsid w:val="00533D89"/>
    <w:rsid w:val="00536564"/>
    <w:rsid w:val="005423E2"/>
    <w:rsid w:val="00543CD9"/>
    <w:rsid w:val="00544597"/>
    <w:rsid w:val="00544FFE"/>
    <w:rsid w:val="005473F5"/>
    <w:rsid w:val="00547756"/>
    <w:rsid w:val="005477E7"/>
    <w:rsid w:val="00552794"/>
    <w:rsid w:val="005533E2"/>
    <w:rsid w:val="00554725"/>
    <w:rsid w:val="00557739"/>
    <w:rsid w:val="00560A65"/>
    <w:rsid w:val="00563199"/>
    <w:rsid w:val="00564874"/>
    <w:rsid w:val="00566523"/>
    <w:rsid w:val="00567963"/>
    <w:rsid w:val="0057009A"/>
    <w:rsid w:val="00571260"/>
    <w:rsid w:val="005716E1"/>
    <w:rsid w:val="0057189C"/>
    <w:rsid w:val="00571C33"/>
    <w:rsid w:val="00573FC1"/>
    <w:rsid w:val="005741EE"/>
    <w:rsid w:val="0057668E"/>
    <w:rsid w:val="005852E7"/>
    <w:rsid w:val="00595E83"/>
    <w:rsid w:val="00596530"/>
    <w:rsid w:val="005967F3"/>
    <w:rsid w:val="005A06DF"/>
    <w:rsid w:val="005A32A2"/>
    <w:rsid w:val="005A3B11"/>
    <w:rsid w:val="005A5115"/>
    <w:rsid w:val="005A5527"/>
    <w:rsid w:val="005A5AE6"/>
    <w:rsid w:val="005A6806"/>
    <w:rsid w:val="005B1206"/>
    <w:rsid w:val="005B37E8"/>
    <w:rsid w:val="005C0056"/>
    <w:rsid w:val="005C29B5"/>
    <w:rsid w:val="005C7E3F"/>
    <w:rsid w:val="005D20AA"/>
    <w:rsid w:val="005D3315"/>
    <w:rsid w:val="005E0D13"/>
    <w:rsid w:val="005E112A"/>
    <w:rsid w:val="005E5047"/>
    <w:rsid w:val="005E7205"/>
    <w:rsid w:val="005E7371"/>
    <w:rsid w:val="005F06FB"/>
    <w:rsid w:val="005F116C"/>
    <w:rsid w:val="005F2131"/>
    <w:rsid w:val="005F331D"/>
    <w:rsid w:val="005F37C4"/>
    <w:rsid w:val="005F61D4"/>
    <w:rsid w:val="005F6CFE"/>
    <w:rsid w:val="00600765"/>
    <w:rsid w:val="0060193E"/>
    <w:rsid w:val="00605EF6"/>
    <w:rsid w:val="00606455"/>
    <w:rsid w:val="0061059D"/>
    <w:rsid w:val="00611D42"/>
    <w:rsid w:val="00613537"/>
    <w:rsid w:val="00614929"/>
    <w:rsid w:val="00616511"/>
    <w:rsid w:val="006176ED"/>
    <w:rsid w:val="006202F3"/>
    <w:rsid w:val="00620591"/>
    <w:rsid w:val="0062097A"/>
    <w:rsid w:val="00621DA6"/>
    <w:rsid w:val="00622154"/>
    <w:rsid w:val="00622B47"/>
    <w:rsid w:val="00623CFE"/>
    <w:rsid w:val="0062644A"/>
    <w:rsid w:val="00627221"/>
    <w:rsid w:val="00627EE8"/>
    <w:rsid w:val="006316FA"/>
    <w:rsid w:val="00632985"/>
    <w:rsid w:val="006363C7"/>
    <w:rsid w:val="006370D2"/>
    <w:rsid w:val="0064074F"/>
    <w:rsid w:val="00641F55"/>
    <w:rsid w:val="0064228C"/>
    <w:rsid w:val="00645E01"/>
    <w:rsid w:val="00645E4A"/>
    <w:rsid w:val="00653688"/>
    <w:rsid w:val="0066091B"/>
    <w:rsid w:val="00660C03"/>
    <w:rsid w:val="00662FB4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800A1"/>
    <w:rsid w:val="00682C63"/>
    <w:rsid w:val="006832CF"/>
    <w:rsid w:val="0068601E"/>
    <w:rsid w:val="00693EB9"/>
    <w:rsid w:val="0069486B"/>
    <w:rsid w:val="00694CA8"/>
    <w:rsid w:val="006963D1"/>
    <w:rsid w:val="006A13B6"/>
    <w:rsid w:val="006A4904"/>
    <w:rsid w:val="006A501E"/>
    <w:rsid w:val="006A548F"/>
    <w:rsid w:val="006A554B"/>
    <w:rsid w:val="006A5D2B"/>
    <w:rsid w:val="006A701A"/>
    <w:rsid w:val="006B11E9"/>
    <w:rsid w:val="006B6161"/>
    <w:rsid w:val="006B64DC"/>
    <w:rsid w:val="006B7A91"/>
    <w:rsid w:val="006C26E2"/>
    <w:rsid w:val="006C3A24"/>
    <w:rsid w:val="006C3C5B"/>
    <w:rsid w:val="006C4126"/>
    <w:rsid w:val="006D0B54"/>
    <w:rsid w:val="006D22B9"/>
    <w:rsid w:val="006D4704"/>
    <w:rsid w:val="006D47ED"/>
    <w:rsid w:val="006D6A2D"/>
    <w:rsid w:val="006E1DF7"/>
    <w:rsid w:val="006E1E18"/>
    <w:rsid w:val="006E31CE"/>
    <w:rsid w:val="006E34D3"/>
    <w:rsid w:val="006E47A2"/>
    <w:rsid w:val="006E4D7F"/>
    <w:rsid w:val="006E5C41"/>
    <w:rsid w:val="006E7DA1"/>
    <w:rsid w:val="006F1435"/>
    <w:rsid w:val="006F2EBD"/>
    <w:rsid w:val="006F78C4"/>
    <w:rsid w:val="007010A3"/>
    <w:rsid w:val="00701E9C"/>
    <w:rsid w:val="007031A0"/>
    <w:rsid w:val="00705333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28B1"/>
    <w:rsid w:val="00733167"/>
    <w:rsid w:val="007367CA"/>
    <w:rsid w:val="00740D2C"/>
    <w:rsid w:val="00744BF9"/>
    <w:rsid w:val="007463E6"/>
    <w:rsid w:val="00746F4F"/>
    <w:rsid w:val="00747D43"/>
    <w:rsid w:val="00750F86"/>
    <w:rsid w:val="007513E6"/>
    <w:rsid w:val="00752623"/>
    <w:rsid w:val="00756990"/>
    <w:rsid w:val="00760F1F"/>
    <w:rsid w:val="00761DDB"/>
    <w:rsid w:val="00762CBF"/>
    <w:rsid w:val="0076410B"/>
    <w:rsid w:val="0076423E"/>
    <w:rsid w:val="007646CB"/>
    <w:rsid w:val="0076658F"/>
    <w:rsid w:val="00767598"/>
    <w:rsid w:val="00767EEF"/>
    <w:rsid w:val="00770204"/>
    <w:rsid w:val="0077040A"/>
    <w:rsid w:val="00772D64"/>
    <w:rsid w:val="007822F8"/>
    <w:rsid w:val="007837C2"/>
    <w:rsid w:val="00784132"/>
    <w:rsid w:val="00790E6E"/>
    <w:rsid w:val="00792609"/>
    <w:rsid w:val="007943E2"/>
    <w:rsid w:val="00794F2C"/>
    <w:rsid w:val="007977A6"/>
    <w:rsid w:val="007A1A00"/>
    <w:rsid w:val="007A3BC7"/>
    <w:rsid w:val="007A51B6"/>
    <w:rsid w:val="007A5AC4"/>
    <w:rsid w:val="007B0FDD"/>
    <w:rsid w:val="007B367C"/>
    <w:rsid w:val="007B4802"/>
    <w:rsid w:val="007B6668"/>
    <w:rsid w:val="007B6B33"/>
    <w:rsid w:val="007B741B"/>
    <w:rsid w:val="007B7D67"/>
    <w:rsid w:val="007C046C"/>
    <w:rsid w:val="007C1587"/>
    <w:rsid w:val="007C2701"/>
    <w:rsid w:val="007C4E77"/>
    <w:rsid w:val="007D0FF7"/>
    <w:rsid w:val="007D2192"/>
    <w:rsid w:val="007E1ECE"/>
    <w:rsid w:val="007F0021"/>
    <w:rsid w:val="007F2F52"/>
    <w:rsid w:val="007F3EB9"/>
    <w:rsid w:val="00801FD4"/>
    <w:rsid w:val="00804AC1"/>
    <w:rsid w:val="00805F28"/>
    <w:rsid w:val="0080749F"/>
    <w:rsid w:val="0081059A"/>
    <w:rsid w:val="008115B5"/>
    <w:rsid w:val="00811D46"/>
    <w:rsid w:val="008125B0"/>
    <w:rsid w:val="008144CB"/>
    <w:rsid w:val="008171F1"/>
    <w:rsid w:val="00821717"/>
    <w:rsid w:val="00824210"/>
    <w:rsid w:val="008251EB"/>
    <w:rsid w:val="008263C0"/>
    <w:rsid w:val="00831CFC"/>
    <w:rsid w:val="00841422"/>
    <w:rsid w:val="00841D3B"/>
    <w:rsid w:val="0084314C"/>
    <w:rsid w:val="00843171"/>
    <w:rsid w:val="00846DE8"/>
    <w:rsid w:val="00846E54"/>
    <w:rsid w:val="00854A69"/>
    <w:rsid w:val="00857078"/>
    <w:rsid w:val="008575C3"/>
    <w:rsid w:val="00861E8B"/>
    <w:rsid w:val="00863D28"/>
    <w:rsid w:val="0086460C"/>
    <w:rsid w:val="008648C3"/>
    <w:rsid w:val="00864A4E"/>
    <w:rsid w:val="00866FCA"/>
    <w:rsid w:val="00871E8A"/>
    <w:rsid w:val="00874376"/>
    <w:rsid w:val="00875B54"/>
    <w:rsid w:val="00880F26"/>
    <w:rsid w:val="008815FC"/>
    <w:rsid w:val="00881EF8"/>
    <w:rsid w:val="00885251"/>
    <w:rsid w:val="00886A9C"/>
    <w:rsid w:val="008941CE"/>
    <w:rsid w:val="00896C2E"/>
    <w:rsid w:val="008A1121"/>
    <w:rsid w:val="008A3186"/>
    <w:rsid w:val="008A5095"/>
    <w:rsid w:val="008A608F"/>
    <w:rsid w:val="008A6E0A"/>
    <w:rsid w:val="008B1A9A"/>
    <w:rsid w:val="008B28A2"/>
    <w:rsid w:val="008B4FE6"/>
    <w:rsid w:val="008B5050"/>
    <w:rsid w:val="008B5250"/>
    <w:rsid w:val="008B6356"/>
    <w:rsid w:val="008B6C37"/>
    <w:rsid w:val="008C0246"/>
    <w:rsid w:val="008C2C15"/>
    <w:rsid w:val="008C60ED"/>
    <w:rsid w:val="008D137B"/>
    <w:rsid w:val="008E18F7"/>
    <w:rsid w:val="008E1E10"/>
    <w:rsid w:val="008E291B"/>
    <w:rsid w:val="008E4F2F"/>
    <w:rsid w:val="008E74B0"/>
    <w:rsid w:val="008F01BD"/>
    <w:rsid w:val="008F0252"/>
    <w:rsid w:val="008F67F1"/>
    <w:rsid w:val="009008A8"/>
    <w:rsid w:val="009016D5"/>
    <w:rsid w:val="009063B0"/>
    <w:rsid w:val="00907106"/>
    <w:rsid w:val="009107FD"/>
    <w:rsid w:val="0091137C"/>
    <w:rsid w:val="00911567"/>
    <w:rsid w:val="00914579"/>
    <w:rsid w:val="00914A9C"/>
    <w:rsid w:val="00915D6C"/>
    <w:rsid w:val="0091670C"/>
    <w:rsid w:val="00917AAE"/>
    <w:rsid w:val="0092213F"/>
    <w:rsid w:val="00923851"/>
    <w:rsid w:val="009250C4"/>
    <w:rsid w:val="009251A9"/>
    <w:rsid w:val="009267CC"/>
    <w:rsid w:val="00930699"/>
    <w:rsid w:val="00930831"/>
    <w:rsid w:val="00931F69"/>
    <w:rsid w:val="00934123"/>
    <w:rsid w:val="009346B0"/>
    <w:rsid w:val="00941714"/>
    <w:rsid w:val="00955774"/>
    <w:rsid w:val="009560B5"/>
    <w:rsid w:val="00960A24"/>
    <w:rsid w:val="00960B44"/>
    <w:rsid w:val="00970071"/>
    <w:rsid w:val="009703D6"/>
    <w:rsid w:val="0097181B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F82"/>
    <w:rsid w:val="00991F96"/>
    <w:rsid w:val="00996F0A"/>
    <w:rsid w:val="009978AF"/>
    <w:rsid w:val="009A19D6"/>
    <w:rsid w:val="009A4FD5"/>
    <w:rsid w:val="009B049C"/>
    <w:rsid w:val="009B11C8"/>
    <w:rsid w:val="009B2773"/>
    <w:rsid w:val="009B2BCF"/>
    <w:rsid w:val="009B2FF8"/>
    <w:rsid w:val="009B5BA3"/>
    <w:rsid w:val="009C2118"/>
    <w:rsid w:val="009C72D8"/>
    <w:rsid w:val="009D0027"/>
    <w:rsid w:val="009D0655"/>
    <w:rsid w:val="009D26C0"/>
    <w:rsid w:val="009D5359"/>
    <w:rsid w:val="009D5772"/>
    <w:rsid w:val="009D5F53"/>
    <w:rsid w:val="009E13C6"/>
    <w:rsid w:val="009E1E98"/>
    <w:rsid w:val="009E3ABE"/>
    <w:rsid w:val="009E3C4B"/>
    <w:rsid w:val="009F0136"/>
    <w:rsid w:val="009F0637"/>
    <w:rsid w:val="009F62A6"/>
    <w:rsid w:val="009F674F"/>
    <w:rsid w:val="009F799E"/>
    <w:rsid w:val="00A02020"/>
    <w:rsid w:val="00A046FD"/>
    <w:rsid w:val="00A056CB"/>
    <w:rsid w:val="00A06E4D"/>
    <w:rsid w:val="00A07A29"/>
    <w:rsid w:val="00A10FF1"/>
    <w:rsid w:val="00A13610"/>
    <w:rsid w:val="00A13E37"/>
    <w:rsid w:val="00A1506B"/>
    <w:rsid w:val="00A17CB2"/>
    <w:rsid w:val="00A23191"/>
    <w:rsid w:val="00A319C0"/>
    <w:rsid w:val="00A319C9"/>
    <w:rsid w:val="00A33560"/>
    <w:rsid w:val="00A371A5"/>
    <w:rsid w:val="00A473F6"/>
    <w:rsid w:val="00A47BDF"/>
    <w:rsid w:val="00A51CD7"/>
    <w:rsid w:val="00A52ADB"/>
    <w:rsid w:val="00A533E8"/>
    <w:rsid w:val="00A542D9"/>
    <w:rsid w:val="00A55663"/>
    <w:rsid w:val="00A56E64"/>
    <w:rsid w:val="00A624C3"/>
    <w:rsid w:val="00A639F1"/>
    <w:rsid w:val="00A6641C"/>
    <w:rsid w:val="00A6720A"/>
    <w:rsid w:val="00A72918"/>
    <w:rsid w:val="00A732D7"/>
    <w:rsid w:val="00A74E85"/>
    <w:rsid w:val="00A767D2"/>
    <w:rsid w:val="00A77616"/>
    <w:rsid w:val="00A805DA"/>
    <w:rsid w:val="00A811B4"/>
    <w:rsid w:val="00A854BD"/>
    <w:rsid w:val="00A878BD"/>
    <w:rsid w:val="00A87CDE"/>
    <w:rsid w:val="00A92BAF"/>
    <w:rsid w:val="00A94737"/>
    <w:rsid w:val="00A94BA3"/>
    <w:rsid w:val="00A9554B"/>
    <w:rsid w:val="00A96822"/>
    <w:rsid w:val="00A96CBA"/>
    <w:rsid w:val="00AB1ACD"/>
    <w:rsid w:val="00AB277F"/>
    <w:rsid w:val="00AB4099"/>
    <w:rsid w:val="00AB449A"/>
    <w:rsid w:val="00AC19C1"/>
    <w:rsid w:val="00AD12D0"/>
    <w:rsid w:val="00AD14F9"/>
    <w:rsid w:val="00AD35D6"/>
    <w:rsid w:val="00AD58C5"/>
    <w:rsid w:val="00AE36C4"/>
    <w:rsid w:val="00AE472C"/>
    <w:rsid w:val="00AE4C46"/>
    <w:rsid w:val="00AE5375"/>
    <w:rsid w:val="00AE6CF8"/>
    <w:rsid w:val="00AF4CAC"/>
    <w:rsid w:val="00B00979"/>
    <w:rsid w:val="00B022C9"/>
    <w:rsid w:val="00B03E0D"/>
    <w:rsid w:val="00B054F8"/>
    <w:rsid w:val="00B06CF4"/>
    <w:rsid w:val="00B07626"/>
    <w:rsid w:val="00B12820"/>
    <w:rsid w:val="00B12B5B"/>
    <w:rsid w:val="00B13798"/>
    <w:rsid w:val="00B1633B"/>
    <w:rsid w:val="00B2219A"/>
    <w:rsid w:val="00B2264D"/>
    <w:rsid w:val="00B26AB2"/>
    <w:rsid w:val="00B353C5"/>
    <w:rsid w:val="00B3581B"/>
    <w:rsid w:val="00B36B81"/>
    <w:rsid w:val="00B36FEE"/>
    <w:rsid w:val="00B37ACB"/>
    <w:rsid w:val="00B37C80"/>
    <w:rsid w:val="00B41055"/>
    <w:rsid w:val="00B4221B"/>
    <w:rsid w:val="00B43583"/>
    <w:rsid w:val="00B5092B"/>
    <w:rsid w:val="00B5194E"/>
    <w:rsid w:val="00B51AF5"/>
    <w:rsid w:val="00B52640"/>
    <w:rsid w:val="00B52C41"/>
    <w:rsid w:val="00B531FC"/>
    <w:rsid w:val="00B54AAC"/>
    <w:rsid w:val="00B55347"/>
    <w:rsid w:val="00B57E5E"/>
    <w:rsid w:val="00B61F37"/>
    <w:rsid w:val="00B65A0C"/>
    <w:rsid w:val="00B73226"/>
    <w:rsid w:val="00B7770F"/>
    <w:rsid w:val="00B77A89"/>
    <w:rsid w:val="00B77B27"/>
    <w:rsid w:val="00B8134E"/>
    <w:rsid w:val="00B81B55"/>
    <w:rsid w:val="00B84613"/>
    <w:rsid w:val="00B857CF"/>
    <w:rsid w:val="00B87AF0"/>
    <w:rsid w:val="00B9037B"/>
    <w:rsid w:val="00B910BD"/>
    <w:rsid w:val="00B9214A"/>
    <w:rsid w:val="00B93834"/>
    <w:rsid w:val="00B96469"/>
    <w:rsid w:val="00BA0BD5"/>
    <w:rsid w:val="00BA0DA2"/>
    <w:rsid w:val="00BA2981"/>
    <w:rsid w:val="00BA48F9"/>
    <w:rsid w:val="00BB0726"/>
    <w:rsid w:val="00BB0DCA"/>
    <w:rsid w:val="00BB6B80"/>
    <w:rsid w:val="00BC301A"/>
    <w:rsid w:val="00BC3773"/>
    <w:rsid w:val="00BC381A"/>
    <w:rsid w:val="00BD0962"/>
    <w:rsid w:val="00BD15A9"/>
    <w:rsid w:val="00BD1781"/>
    <w:rsid w:val="00BD1EED"/>
    <w:rsid w:val="00BD41D1"/>
    <w:rsid w:val="00BE30BA"/>
    <w:rsid w:val="00BE558F"/>
    <w:rsid w:val="00BE57A7"/>
    <w:rsid w:val="00BF0DA2"/>
    <w:rsid w:val="00BF109C"/>
    <w:rsid w:val="00BF1CFB"/>
    <w:rsid w:val="00BF29BB"/>
    <w:rsid w:val="00BF34FA"/>
    <w:rsid w:val="00BF6F8F"/>
    <w:rsid w:val="00C004B6"/>
    <w:rsid w:val="00C01817"/>
    <w:rsid w:val="00C047A7"/>
    <w:rsid w:val="00C05DE5"/>
    <w:rsid w:val="00C07FF4"/>
    <w:rsid w:val="00C11384"/>
    <w:rsid w:val="00C225DE"/>
    <w:rsid w:val="00C33027"/>
    <w:rsid w:val="00C3672B"/>
    <w:rsid w:val="00C37667"/>
    <w:rsid w:val="00C377BA"/>
    <w:rsid w:val="00C435DB"/>
    <w:rsid w:val="00C444DF"/>
    <w:rsid w:val="00C44D73"/>
    <w:rsid w:val="00C50B42"/>
    <w:rsid w:val="00C516FF"/>
    <w:rsid w:val="00C52BFA"/>
    <w:rsid w:val="00C53D1D"/>
    <w:rsid w:val="00C53DC0"/>
    <w:rsid w:val="00C53F26"/>
    <w:rsid w:val="00C540BC"/>
    <w:rsid w:val="00C54716"/>
    <w:rsid w:val="00C64F7D"/>
    <w:rsid w:val="00C67309"/>
    <w:rsid w:val="00C7614E"/>
    <w:rsid w:val="00C80D60"/>
    <w:rsid w:val="00C82FBD"/>
    <w:rsid w:val="00C85267"/>
    <w:rsid w:val="00C86884"/>
    <w:rsid w:val="00C8721B"/>
    <w:rsid w:val="00C873D5"/>
    <w:rsid w:val="00C91E0B"/>
    <w:rsid w:val="00C9372C"/>
    <w:rsid w:val="00C9470E"/>
    <w:rsid w:val="00C95CEB"/>
    <w:rsid w:val="00CA1054"/>
    <w:rsid w:val="00CA4D3F"/>
    <w:rsid w:val="00CA5B58"/>
    <w:rsid w:val="00CA63EB"/>
    <w:rsid w:val="00CA69F1"/>
    <w:rsid w:val="00CB6991"/>
    <w:rsid w:val="00CC6109"/>
    <w:rsid w:val="00CC6194"/>
    <w:rsid w:val="00CC6305"/>
    <w:rsid w:val="00CC78A5"/>
    <w:rsid w:val="00CD0516"/>
    <w:rsid w:val="00CD23D6"/>
    <w:rsid w:val="00CD5285"/>
    <w:rsid w:val="00CD690B"/>
    <w:rsid w:val="00CD756B"/>
    <w:rsid w:val="00CE14C7"/>
    <w:rsid w:val="00CE50AA"/>
    <w:rsid w:val="00CE734F"/>
    <w:rsid w:val="00CF0EA7"/>
    <w:rsid w:val="00CF112E"/>
    <w:rsid w:val="00CF5171"/>
    <w:rsid w:val="00CF5F4F"/>
    <w:rsid w:val="00CF62B2"/>
    <w:rsid w:val="00CF7280"/>
    <w:rsid w:val="00D0077D"/>
    <w:rsid w:val="00D00D26"/>
    <w:rsid w:val="00D0276E"/>
    <w:rsid w:val="00D03CD3"/>
    <w:rsid w:val="00D049BA"/>
    <w:rsid w:val="00D04E43"/>
    <w:rsid w:val="00D12D4B"/>
    <w:rsid w:val="00D12F1D"/>
    <w:rsid w:val="00D218DC"/>
    <w:rsid w:val="00D24E56"/>
    <w:rsid w:val="00D264E4"/>
    <w:rsid w:val="00D30BE0"/>
    <w:rsid w:val="00D31643"/>
    <w:rsid w:val="00D31AEB"/>
    <w:rsid w:val="00D32ECD"/>
    <w:rsid w:val="00D3550E"/>
    <w:rsid w:val="00D361E4"/>
    <w:rsid w:val="00D41CAC"/>
    <w:rsid w:val="00D439F6"/>
    <w:rsid w:val="00D44E36"/>
    <w:rsid w:val="00D459C6"/>
    <w:rsid w:val="00D4780D"/>
    <w:rsid w:val="00D50729"/>
    <w:rsid w:val="00D50C19"/>
    <w:rsid w:val="00D5379E"/>
    <w:rsid w:val="00D56207"/>
    <w:rsid w:val="00D62643"/>
    <w:rsid w:val="00D64C0F"/>
    <w:rsid w:val="00D6786C"/>
    <w:rsid w:val="00D723A9"/>
    <w:rsid w:val="00D72EFE"/>
    <w:rsid w:val="00D73AD0"/>
    <w:rsid w:val="00D74B9F"/>
    <w:rsid w:val="00D76227"/>
    <w:rsid w:val="00D77DF1"/>
    <w:rsid w:val="00D81DB0"/>
    <w:rsid w:val="00D843A0"/>
    <w:rsid w:val="00D86AFF"/>
    <w:rsid w:val="00D904C4"/>
    <w:rsid w:val="00D92B43"/>
    <w:rsid w:val="00D93694"/>
    <w:rsid w:val="00D95693"/>
    <w:rsid w:val="00D95A44"/>
    <w:rsid w:val="00D95D16"/>
    <w:rsid w:val="00D97C76"/>
    <w:rsid w:val="00DB02B4"/>
    <w:rsid w:val="00DB2DF0"/>
    <w:rsid w:val="00DB538D"/>
    <w:rsid w:val="00DB6ED0"/>
    <w:rsid w:val="00DC108B"/>
    <w:rsid w:val="00DC275C"/>
    <w:rsid w:val="00DC4B0D"/>
    <w:rsid w:val="00DC7FE1"/>
    <w:rsid w:val="00DD1B51"/>
    <w:rsid w:val="00DD3F3F"/>
    <w:rsid w:val="00DD5572"/>
    <w:rsid w:val="00DD7E8A"/>
    <w:rsid w:val="00DE5D80"/>
    <w:rsid w:val="00DF58CD"/>
    <w:rsid w:val="00DF65DE"/>
    <w:rsid w:val="00E019A5"/>
    <w:rsid w:val="00E02EC8"/>
    <w:rsid w:val="00E037F5"/>
    <w:rsid w:val="00E04AD2"/>
    <w:rsid w:val="00E04ECB"/>
    <w:rsid w:val="00E05A09"/>
    <w:rsid w:val="00E05DAE"/>
    <w:rsid w:val="00E06CA1"/>
    <w:rsid w:val="00E10BE8"/>
    <w:rsid w:val="00E124D5"/>
    <w:rsid w:val="00E1288D"/>
    <w:rsid w:val="00E13DDC"/>
    <w:rsid w:val="00E172B8"/>
    <w:rsid w:val="00E17FB4"/>
    <w:rsid w:val="00E20B75"/>
    <w:rsid w:val="00E214F2"/>
    <w:rsid w:val="00E22A25"/>
    <w:rsid w:val="00E2371E"/>
    <w:rsid w:val="00E23ABC"/>
    <w:rsid w:val="00E24BD7"/>
    <w:rsid w:val="00E26523"/>
    <w:rsid w:val="00E26809"/>
    <w:rsid w:val="00E26E82"/>
    <w:rsid w:val="00E33C8A"/>
    <w:rsid w:val="00E3412D"/>
    <w:rsid w:val="00E349CD"/>
    <w:rsid w:val="00E35202"/>
    <w:rsid w:val="00E4055D"/>
    <w:rsid w:val="00E41584"/>
    <w:rsid w:val="00E43530"/>
    <w:rsid w:val="00E57322"/>
    <w:rsid w:val="00E628CB"/>
    <w:rsid w:val="00E62AD9"/>
    <w:rsid w:val="00E638C8"/>
    <w:rsid w:val="00E70282"/>
    <w:rsid w:val="00E7509B"/>
    <w:rsid w:val="00E76297"/>
    <w:rsid w:val="00E77B64"/>
    <w:rsid w:val="00E82704"/>
    <w:rsid w:val="00E86590"/>
    <w:rsid w:val="00E86E1F"/>
    <w:rsid w:val="00E907FF"/>
    <w:rsid w:val="00E90B37"/>
    <w:rsid w:val="00E925B8"/>
    <w:rsid w:val="00EA0D99"/>
    <w:rsid w:val="00EA1673"/>
    <w:rsid w:val="00EA42D1"/>
    <w:rsid w:val="00EA42EF"/>
    <w:rsid w:val="00EA601E"/>
    <w:rsid w:val="00EB2DD1"/>
    <w:rsid w:val="00EB534B"/>
    <w:rsid w:val="00EB6B37"/>
    <w:rsid w:val="00EC29FE"/>
    <w:rsid w:val="00EC478B"/>
    <w:rsid w:val="00ED2BC1"/>
    <w:rsid w:val="00ED3A3D"/>
    <w:rsid w:val="00ED538A"/>
    <w:rsid w:val="00ED6FBC"/>
    <w:rsid w:val="00EE2F16"/>
    <w:rsid w:val="00EE3861"/>
    <w:rsid w:val="00EE57FD"/>
    <w:rsid w:val="00EE6383"/>
    <w:rsid w:val="00EE6D9F"/>
    <w:rsid w:val="00EE7544"/>
    <w:rsid w:val="00EF1F93"/>
    <w:rsid w:val="00EF2E73"/>
    <w:rsid w:val="00EF384D"/>
    <w:rsid w:val="00EF5493"/>
    <w:rsid w:val="00EF7683"/>
    <w:rsid w:val="00EF7A2D"/>
    <w:rsid w:val="00F04D01"/>
    <w:rsid w:val="00F04F8D"/>
    <w:rsid w:val="00F10AD0"/>
    <w:rsid w:val="00F116CC"/>
    <w:rsid w:val="00F12BD1"/>
    <w:rsid w:val="00F15327"/>
    <w:rsid w:val="00F15DDA"/>
    <w:rsid w:val="00F168CF"/>
    <w:rsid w:val="00F233BC"/>
    <w:rsid w:val="00F2555C"/>
    <w:rsid w:val="00F31DF3"/>
    <w:rsid w:val="00F33AE5"/>
    <w:rsid w:val="00F3597D"/>
    <w:rsid w:val="00F35FCD"/>
    <w:rsid w:val="00F4376D"/>
    <w:rsid w:val="00F43F5A"/>
    <w:rsid w:val="00F45399"/>
    <w:rsid w:val="00F465EA"/>
    <w:rsid w:val="00F54E7B"/>
    <w:rsid w:val="00F55A88"/>
    <w:rsid w:val="00F57E66"/>
    <w:rsid w:val="00F60829"/>
    <w:rsid w:val="00F74005"/>
    <w:rsid w:val="00F76884"/>
    <w:rsid w:val="00F83D24"/>
    <w:rsid w:val="00F83DD9"/>
    <w:rsid w:val="00F83F40"/>
    <w:rsid w:val="00F85BE3"/>
    <w:rsid w:val="00F911E0"/>
    <w:rsid w:val="00FA117A"/>
    <w:rsid w:val="00FA254E"/>
    <w:rsid w:val="00FA4FC7"/>
    <w:rsid w:val="00FA7144"/>
    <w:rsid w:val="00FA7BD2"/>
    <w:rsid w:val="00FA7C3F"/>
    <w:rsid w:val="00FB386A"/>
    <w:rsid w:val="00FB7C60"/>
    <w:rsid w:val="00FC0786"/>
    <w:rsid w:val="00FC1819"/>
    <w:rsid w:val="00FC49EF"/>
    <w:rsid w:val="00FD1CD2"/>
    <w:rsid w:val="00FE36E2"/>
    <w:rsid w:val="00FE4661"/>
    <w:rsid w:val="00FF11AD"/>
    <w:rsid w:val="00FF11DC"/>
    <w:rsid w:val="00FF2210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B1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paragraph" w:customStyle="1" w:styleId="PKTpunkt">
    <w:name w:val="PKT – punkt"/>
    <w:uiPriority w:val="13"/>
    <w:qFormat/>
    <w:rsid w:val="00241B6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Poprawka">
    <w:name w:val="Revision"/>
    <w:hidden/>
    <w:uiPriority w:val="99"/>
    <w:semiHidden/>
    <w:rsid w:val="00620591"/>
    <w:rPr>
      <w:sz w:val="22"/>
      <w:szCs w:val="22"/>
      <w:lang w:eastAsia="en-US"/>
    </w:rPr>
  </w:style>
  <w:style w:type="character" w:customStyle="1" w:styleId="Teksttreci4">
    <w:name w:val="Tekst treści (4)_"/>
    <w:link w:val="Teksttreci41"/>
    <w:rsid w:val="00E925B8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E925B8"/>
    <w:pPr>
      <w:widowControl w:val="0"/>
      <w:shd w:val="clear" w:color="auto" w:fill="FFFFFF"/>
      <w:spacing w:line="254" w:lineRule="exact"/>
      <w:ind w:hanging="380"/>
      <w:jc w:val="both"/>
    </w:pPr>
    <w:rPr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paragraph" w:customStyle="1" w:styleId="PKTpunkt">
    <w:name w:val="PKT – punkt"/>
    <w:uiPriority w:val="13"/>
    <w:qFormat/>
    <w:rsid w:val="00241B6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Poprawka">
    <w:name w:val="Revision"/>
    <w:hidden/>
    <w:uiPriority w:val="99"/>
    <w:semiHidden/>
    <w:rsid w:val="00620591"/>
    <w:rPr>
      <w:sz w:val="22"/>
      <w:szCs w:val="22"/>
      <w:lang w:eastAsia="en-US"/>
    </w:rPr>
  </w:style>
  <w:style w:type="character" w:customStyle="1" w:styleId="Teksttreci4">
    <w:name w:val="Tekst treści (4)_"/>
    <w:link w:val="Teksttreci41"/>
    <w:rsid w:val="00E925B8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E925B8"/>
    <w:pPr>
      <w:widowControl w:val="0"/>
      <w:shd w:val="clear" w:color="auto" w:fill="FFFFFF"/>
      <w:spacing w:line="254" w:lineRule="exact"/>
      <w:ind w:hanging="380"/>
      <w:jc w:val="both"/>
    </w:pPr>
    <w:rPr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ro.io.gliwice.pl/main_pl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go.or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p-oz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34EE-6A42-49F2-A172-C3D56C7C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2516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17578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2018-10-17T11:30:00Z</dcterms:created>
  <dcterms:modified xsi:type="dcterms:W3CDTF">2018-10-17T11:30:00Z</dcterms:modified>
</cp:coreProperties>
</file>