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8A47BD" w:rsidTr="00A506D2">
        <w:tc>
          <w:tcPr>
            <w:tcW w:w="352" w:type="pct"/>
          </w:tcPr>
          <w:p w:rsidR="008A47BD" w:rsidRDefault="008A47BD"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8A47BD" w:rsidRDefault="008A47B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A47BD" w:rsidRPr="00F024DA" w:rsidRDefault="008A47BD"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hAnsi="Times New Roman" w:cs="Times New Roman"/>
                <w:b w:val="0"/>
                <w:color w:val="auto"/>
                <w:sz w:val="20"/>
                <w:szCs w:val="20"/>
                <w:shd w:val="clear" w:color="auto" w:fill="FFFFFF"/>
              </w:rPr>
              <w:t>Ustawa</w:t>
            </w:r>
            <w:r w:rsidRPr="00F73B45">
              <w:rPr>
                <w:rFonts w:ascii="Times New Roman" w:hAnsi="Times New Roman" w:cs="Times New Roman"/>
                <w:b w:val="0"/>
                <w:color w:val="auto"/>
                <w:sz w:val="20"/>
                <w:szCs w:val="20"/>
                <w:shd w:val="clear" w:color="auto" w:fill="FFFFFF"/>
              </w:rPr>
              <w:t xml:space="preserve"> o zmianie ustawy o świadczeniach opieki zdrowotnej finansowanych ze środków publicznych oraz niektórych innych ustaw (druk 1450)</w:t>
            </w:r>
          </w:p>
        </w:tc>
        <w:tc>
          <w:tcPr>
            <w:tcW w:w="2115" w:type="pct"/>
          </w:tcPr>
          <w:p w:rsidR="008A47BD" w:rsidRPr="00F73B45" w:rsidRDefault="008A47BD" w:rsidP="008A47BD">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8A47BD" w:rsidRPr="00F73B45" w:rsidRDefault="008A47BD" w:rsidP="008A47BD">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8A47BD" w:rsidRPr="00F024DA" w:rsidRDefault="008A47BD" w:rsidP="008A47BD">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8A47BD" w:rsidRPr="00F73B45"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rsidR="008A47BD" w:rsidRPr="00F73B45" w:rsidRDefault="008A47BD" w:rsidP="008A47BD">
            <w:pPr>
              <w:jc w:val="center"/>
              <w:rPr>
                <w:rFonts w:ascii="Times New Roman" w:hAnsi="Times New Roman" w:cs="Times New Roman"/>
                <w:sz w:val="20"/>
                <w:szCs w:val="20"/>
              </w:rPr>
            </w:pPr>
          </w:p>
          <w:p w:rsidR="008A47BD" w:rsidRPr="00F73B45"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Rada Ministrów przyjęła projekt 30 lipca 2021 r.</w:t>
            </w:r>
          </w:p>
          <w:p w:rsidR="008A47BD" w:rsidRPr="00F73B45" w:rsidRDefault="008A47BD" w:rsidP="008A47BD">
            <w:pPr>
              <w:jc w:val="center"/>
              <w:rPr>
                <w:rFonts w:ascii="Times New Roman" w:hAnsi="Times New Roman" w:cs="Times New Roman"/>
                <w:sz w:val="20"/>
                <w:szCs w:val="20"/>
              </w:rPr>
            </w:pPr>
          </w:p>
          <w:p w:rsidR="008A47BD" w:rsidRPr="00F73B45"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RP 2 sierpnia 2021 r.</w:t>
            </w:r>
          </w:p>
          <w:p w:rsidR="008A47BD" w:rsidRPr="00F73B45" w:rsidRDefault="008A47BD" w:rsidP="008A47BD">
            <w:pPr>
              <w:jc w:val="center"/>
              <w:rPr>
                <w:rFonts w:ascii="Times New Roman" w:hAnsi="Times New Roman" w:cs="Times New Roman"/>
                <w:sz w:val="20"/>
                <w:szCs w:val="20"/>
              </w:rPr>
            </w:pPr>
          </w:p>
          <w:p w:rsidR="008A47BD" w:rsidRPr="00F73B45"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Skierowano do I czytania w komisjach (Komisja Zdrowia) - 10 sierpnia 2021 r.</w:t>
            </w:r>
          </w:p>
          <w:p w:rsidR="008A47BD" w:rsidRPr="00F73B45" w:rsidRDefault="008A47BD" w:rsidP="008A47BD">
            <w:pPr>
              <w:jc w:val="center"/>
              <w:rPr>
                <w:rFonts w:ascii="Times New Roman" w:hAnsi="Times New Roman" w:cs="Times New Roman"/>
                <w:sz w:val="20"/>
                <w:szCs w:val="20"/>
              </w:rPr>
            </w:pPr>
          </w:p>
          <w:p w:rsidR="008A47BD" w:rsidRPr="00F73B45"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Sprawozdanie Komisji Zdrowia (druk 1494)</w:t>
            </w:r>
          </w:p>
          <w:p w:rsidR="008A47BD" w:rsidRPr="00F73B45" w:rsidRDefault="008A47BD" w:rsidP="008A47BD">
            <w:pPr>
              <w:jc w:val="center"/>
              <w:rPr>
                <w:rFonts w:ascii="Times New Roman" w:hAnsi="Times New Roman" w:cs="Times New Roman"/>
                <w:sz w:val="20"/>
                <w:szCs w:val="20"/>
              </w:rPr>
            </w:pPr>
          </w:p>
          <w:p w:rsidR="008A47BD" w:rsidRDefault="008A47BD" w:rsidP="008A47BD">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11 sierpnia </w:t>
            </w:r>
            <w:r w:rsidRPr="00F73B45">
              <w:rPr>
                <w:rFonts w:ascii="Times New Roman" w:hAnsi="Times New Roman" w:cs="Times New Roman"/>
                <w:sz w:val="20"/>
                <w:szCs w:val="20"/>
              </w:rPr>
              <w:lastRenderedPageBreak/>
              <w:t>2021 r.</w:t>
            </w:r>
          </w:p>
          <w:p w:rsidR="008A47BD" w:rsidRDefault="008A47BD" w:rsidP="008A47BD">
            <w:pPr>
              <w:jc w:val="center"/>
              <w:rPr>
                <w:rFonts w:ascii="Times New Roman" w:hAnsi="Times New Roman" w:cs="Times New Roman"/>
                <w:sz w:val="20"/>
                <w:szCs w:val="20"/>
              </w:rPr>
            </w:pPr>
          </w:p>
          <w:p w:rsidR="008A47BD" w:rsidRDefault="008A47BD" w:rsidP="008A47BD">
            <w:pPr>
              <w:jc w:val="center"/>
              <w:rPr>
                <w:rFonts w:ascii="Times New Roman" w:hAnsi="Times New Roman" w:cs="Times New Roman"/>
                <w:sz w:val="20"/>
                <w:szCs w:val="20"/>
              </w:rPr>
            </w:pPr>
            <w:r>
              <w:rPr>
                <w:rFonts w:ascii="Times New Roman" w:hAnsi="Times New Roman" w:cs="Times New Roman"/>
                <w:sz w:val="20"/>
                <w:szCs w:val="20"/>
              </w:rPr>
              <w:t>Ustawa wpłynęła do Senatu (druk 484)</w:t>
            </w:r>
          </w:p>
        </w:tc>
        <w:tc>
          <w:tcPr>
            <w:tcW w:w="1174" w:type="pct"/>
          </w:tcPr>
          <w:p w:rsidR="008A47BD" w:rsidRDefault="008A47BD" w:rsidP="000E1A81">
            <w:hyperlink r:id="rId9" w:history="1">
              <w:r>
                <w:rPr>
                  <w:rStyle w:val="Hipercze"/>
                </w:rPr>
                <w:t>484.pdf</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F024DA" w:rsidP="000E1A81">
            <w:hyperlink r:id="rId10" w:history="1">
              <w:r>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razie </w:t>
            </w:r>
            <w:r w:rsidRPr="00F024DA">
              <w:rPr>
                <w:rFonts w:ascii="Times New Roman" w:eastAsia="Times New Roman" w:hAnsi="Times New Roman" w:cs="Times New Roman"/>
                <w:b w:val="0"/>
                <w:bCs w:val="0"/>
                <w:color w:val="auto"/>
                <w:sz w:val="20"/>
                <w:szCs w:val="20"/>
                <w:lang w:eastAsia="pl-PL"/>
              </w:rPr>
              <w:lastRenderedPageBreak/>
              <w:t>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1" w:history="1">
              <w:r w:rsidRPr="00CD331F">
                <w:rPr>
                  <w:rStyle w:val="Hipercze"/>
                </w:rPr>
                <w:t>dep-zp@mz.gov.pl</w:t>
              </w:r>
            </w:hyperlink>
            <w:r>
              <w:t>)</w:t>
            </w:r>
          </w:p>
        </w:tc>
        <w:tc>
          <w:tcPr>
            <w:tcW w:w="1174" w:type="pct"/>
          </w:tcPr>
          <w:p w:rsidR="00F024DA" w:rsidRDefault="00F024DA" w:rsidP="000E1A81">
            <w:hyperlink r:id="rId12" w:history="1">
              <w:r>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D94E96" w:rsidP="000E1A81">
            <w:hyperlink r:id="rId13"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AE1F81">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dokumentacji </w:t>
            </w:r>
            <w:r w:rsidRPr="00F73B45">
              <w:rPr>
                <w:rFonts w:ascii="Times New Roman" w:eastAsia="Times New Roman" w:hAnsi="Times New Roman" w:cs="Times New Roman"/>
                <w:b w:val="0"/>
                <w:bCs w:val="0"/>
                <w:color w:val="auto"/>
                <w:sz w:val="20"/>
                <w:szCs w:val="20"/>
                <w:lang w:eastAsia="pl-PL"/>
              </w:rPr>
              <w:lastRenderedPageBreak/>
              <w:t>medycznej oraz sposobu jej przetwarzania</w:t>
            </w:r>
          </w:p>
        </w:tc>
        <w:tc>
          <w:tcPr>
            <w:tcW w:w="2115" w:type="pct"/>
          </w:tcPr>
          <w:p w:rsidR="00FF4AF3" w:rsidRPr="00F73B45" w:rsidRDefault="00FF4AF3" w:rsidP="00AE1F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AE1F81">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AE1F81">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AE1F81">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w:t>
            </w:r>
            <w:r w:rsidRPr="00F73B45">
              <w:rPr>
                <w:rFonts w:ascii="Times New Roman" w:eastAsia="Times New Roman" w:hAnsi="Times New Roman" w:cs="Times New Roman"/>
                <w:sz w:val="20"/>
                <w:szCs w:val="20"/>
                <w:lang w:eastAsia="pl-PL"/>
              </w:rPr>
              <w:lastRenderedPageBreak/>
              <w:t>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D94E96" w:rsidP="000E1A81">
            <w:hyperlink r:id="rId1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bezpieczeństwa i opieki pacjentom oraz bezpieczeństwa personelowi zakładów opiekuńczo-leczniczych, domów pomocy społecznej, zakładów pielęgnacyjno- </w:t>
            </w:r>
            <w:r w:rsidRPr="00FF4AF3">
              <w:rPr>
                <w:rFonts w:ascii="Times New Roman" w:hAnsi="Times New Roman" w:cs="Times New Roman"/>
                <w:b w:val="0"/>
                <w:color w:val="auto"/>
                <w:sz w:val="20"/>
                <w:szCs w:val="20"/>
                <w:shd w:val="clear" w:color="auto" w:fill="FFFFFF"/>
              </w:rPr>
              <w:lastRenderedPageBreak/>
              <w:t>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D94E96" w:rsidP="000E1A81">
            <w:hyperlink r:id="rId1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D94E96" w:rsidP="000E1A81">
            <w:pPr>
              <w:rPr>
                <w:rFonts w:ascii="Times New Roman" w:hAnsi="Times New Roman" w:cs="Times New Roman"/>
                <w:sz w:val="20"/>
                <w:szCs w:val="20"/>
              </w:rPr>
            </w:pPr>
            <w:hyperlink r:id="rId1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w:t>
            </w:r>
            <w:r w:rsidRPr="00F73B45">
              <w:rPr>
                <w:rFonts w:ascii="Times New Roman" w:hAnsi="Times New Roman" w:cs="Times New Roman"/>
                <w:b w:val="0"/>
                <w:color w:val="auto"/>
                <w:sz w:val="20"/>
                <w:szCs w:val="20"/>
                <w:shd w:val="clear" w:color="auto" w:fill="FFFFFF"/>
              </w:rPr>
              <w:lastRenderedPageBreak/>
              <w:t>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D94E96" w:rsidP="000E1A81">
            <w:pPr>
              <w:rPr>
                <w:rFonts w:ascii="Times New Roman" w:hAnsi="Times New Roman" w:cs="Times New Roman"/>
                <w:sz w:val="20"/>
                <w:szCs w:val="20"/>
              </w:rPr>
            </w:pPr>
            <w:hyperlink r:id="rId1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wsparciu osób szczególnie zaangażowanych w </w:t>
            </w:r>
            <w:r w:rsidRPr="00F73B45">
              <w:rPr>
                <w:rFonts w:ascii="Times New Roman" w:hAnsi="Times New Roman" w:cs="Times New Roman"/>
                <w:b w:val="0"/>
                <w:color w:val="auto"/>
                <w:sz w:val="20"/>
                <w:szCs w:val="20"/>
                <w:shd w:val="clear" w:color="auto" w:fill="FFFFFF"/>
              </w:rPr>
              <w:lastRenderedPageBreak/>
              <w:t>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w:t>
            </w:r>
            <w:r w:rsidRPr="00F73B45">
              <w:rPr>
                <w:rFonts w:ascii="Times New Roman" w:hAnsi="Times New Roman" w:cs="Times New Roman"/>
                <w:sz w:val="20"/>
                <w:szCs w:val="20"/>
              </w:rPr>
              <w:lastRenderedPageBreak/>
              <w:t>porządku obrad w sprawie pierwszego czytania projektu</w:t>
            </w:r>
          </w:p>
        </w:tc>
        <w:tc>
          <w:tcPr>
            <w:tcW w:w="1174" w:type="pct"/>
          </w:tcPr>
          <w:p w:rsidR="00FF4AF3" w:rsidRPr="00F73B45" w:rsidRDefault="00D94E96" w:rsidP="000E1A81">
            <w:pPr>
              <w:rPr>
                <w:rFonts w:ascii="Times New Roman" w:hAnsi="Times New Roman" w:cs="Times New Roman"/>
                <w:sz w:val="20"/>
                <w:szCs w:val="20"/>
              </w:rPr>
            </w:pPr>
            <w:hyperlink r:id="rId1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szczególnych rozwiązaniach związanych z zapobieganiem, przeciwdziałaniem i zwalczaniem COVID-19, innych chorób zakaźnych oraz wywołanych nimi sytuacji kryzysowych (druk 1018)</w:t>
            </w:r>
          </w:p>
        </w:tc>
        <w:tc>
          <w:tcPr>
            <w:tcW w:w="2115" w:type="pct"/>
          </w:tcPr>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Sprawozdanie Komisji Polityki Społecznej i Rodziny (druk 1487)</w:t>
            </w:r>
          </w:p>
          <w:p w:rsidR="00FF4AF3" w:rsidRPr="00F73B45" w:rsidRDefault="00FF4AF3" w:rsidP="006459EE">
            <w:pPr>
              <w:jc w:val="center"/>
              <w:rPr>
                <w:rFonts w:ascii="Times New Roman" w:hAnsi="Times New Roman" w:cs="Times New Roman"/>
                <w:sz w:val="20"/>
                <w:szCs w:val="20"/>
              </w:rPr>
            </w:pPr>
          </w:p>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11 sierpnia 2021 r. – wniosek o uzupełnienie porządku obrad o Sprawozdanie Komisji </w:t>
            </w:r>
          </w:p>
        </w:tc>
        <w:tc>
          <w:tcPr>
            <w:tcW w:w="1174" w:type="pct"/>
          </w:tcPr>
          <w:p w:rsidR="00FF4AF3" w:rsidRPr="00F73B45" w:rsidRDefault="00D94E96" w:rsidP="000E1A81">
            <w:pPr>
              <w:rPr>
                <w:rFonts w:ascii="Times New Roman" w:hAnsi="Times New Roman" w:cs="Times New Roman"/>
                <w:sz w:val="20"/>
                <w:szCs w:val="20"/>
              </w:rPr>
            </w:pPr>
            <w:hyperlink r:id="rId19" w:history="1">
              <w:r w:rsidR="00FF4AF3" w:rsidRPr="00F73B45">
                <w:rPr>
                  <w:rStyle w:val="Hipercze"/>
                  <w:rFonts w:ascii="Times New Roman" w:hAnsi="Times New Roman" w:cs="Times New Roman"/>
                  <w:sz w:val="20"/>
                  <w:szCs w:val="20"/>
                </w:rPr>
                <w:t>https://orka.sejm.gov.pl/Druki9ka.nsf/0/429FA33770635878C125869A003F22C3/%24File/1018.pdf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bookmarkStart w:id="0" w:name="_GoBack"/>
            <w:bookmarkEnd w:id="0"/>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Agencji Badań Medycznych</w:t>
            </w:r>
          </w:p>
        </w:tc>
        <w:tc>
          <w:tcPr>
            <w:tcW w:w="2115" w:type="pct"/>
          </w:tcPr>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Opracowanie projektu ustawy o zmianie ustawy o Agencji Badań Medycznych wynika z konieczności wprowadzenia modyfikacji związanych z usprawnieniem działalności Agencji Badań Medycznych. </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wchodzi w zakres pakietu rozwiązań przeciwdziałających negatywnym skutkom społecznym, gospodarczym i zdrowotnym COVID-19. Celem proponowanych rozwiązań jest także zwiększenie konkurencyjności Rzeczypospolitej Polskiej jako miejsca prowadzenia badań klinicznych i eksperymentów medycznych oraz wprowadzenie dodatkowych ułatwień i mechanizmów zachęcających do ich prowadzenia, które pozytywnie wyróżnią kraj na tle innych państw.</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związku z negatywnymi skutkami rozprzestrzeniania się w 2020 r. COVID-19 znaczenie działań stymulujących konkurencyjność i innowacyjność przemysłu farmaceutycznego, jest kluczowe. Stymulacyjne oddziaływanie gospodarcze, tj. pobudzanie nowych inwestycji przez wykorzystanie instrumentów wsparcia finansowego z </w:t>
            </w:r>
            <w:r w:rsidRPr="00F73B45">
              <w:rPr>
                <w:rFonts w:ascii="Times New Roman" w:eastAsia="Times New Roman" w:hAnsi="Times New Roman" w:cs="Times New Roman"/>
                <w:sz w:val="20"/>
                <w:szCs w:val="20"/>
                <w:lang w:eastAsia="pl-PL"/>
              </w:rPr>
              <w:lastRenderedPageBreak/>
              <w:t>Agencji Badań Medycznych, uzupełnia w tym przypadku również istotne oddziaływanie społeczne, efektem czego jest lepsza ilościowo i jakościowo ochrona zdrowia w Rzeczypospolitej Polskiej.</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celu zapewnienia bardziej efektywnego działania Agencji Badań Medycznych projekt przewiduje:</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umożliwienia Agencji doboru właściwego wsparcia merytorycznego na potrzeby realizowanych przez Agencję ustawowych działań; dlatego też konieczne jest określenie w ustawie o Agencji Badań Medycznych wyłączenia stosowania przepisów o zamówieniach publicznych w odniesieniu do angażowania ekspertów będących osobami fizycznymi do oceny wniosków o dofinansowanie oraz innych ocen i opinii dotyczących realizacji zadań Agencji, w szczególności związanych z nadzorem i kontrolą prawidłowej realizacji dofinansowanych projektów;</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doprecyzowanie, że wnioskodawcy będzie przysługiwało prawo do złożenia protestu tylko od negatywnego wyniku konkursu skutkującego nierekomendowaniem wniosku, w celu zapewnienia usprawnienia procedury konkursowej, jak również wyłączenia możliwości odwoławczych tylko i wyłącznie w zakresie przyznanego poziomu dofinansowania;</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zmianę przepisów które umożliwią przyznawanie Agencji dotacji celowej na finansowanie wydatków inwestycyjnych, dzięki czemu Agencja będzie mogła realizować np. zakupy środków trwałych i wartości niematerialnych i prawnych;</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doprecyzowanie, że fundusz rezerwowy może być przeznaczany także na finansowanie zobowiązań wynikających z realizacji zadań, o których mowa w art. 15 ust. 1 pkt 5 i 6 oraz ust. 2 pkt 1 i 2 ustawy z dnia 21 lutego 2019 r. o Agencji Badań Medycznych (Dz. U. poz. 447 i z 2020 r. poz. 567) oraz na finansowanie inwestycji lub pokrycie straty netto;</w:t>
            </w:r>
          </w:p>
          <w:p w:rsidR="00FF4AF3" w:rsidRPr="00F73B45" w:rsidRDefault="00FF4AF3" w:rsidP="006459E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dodatnie przepisu umożliwiającego podwyższenie limitu wydatków o środki niewykorzystane z lat ubiegłych pochodzące z tzw. odpisu z Narodowego Funduszu Zdrowia.</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Komisja Zdrowia w Sejmie 11 sierpnia 2021 r. - Rozpatrzenie uchwały Senatu w sprawie ustawy o zmianie ustawy o Agencji Badań Medycznych oraz </w:t>
            </w:r>
            <w:r w:rsidRPr="00F73B45">
              <w:rPr>
                <w:rFonts w:ascii="Times New Roman" w:hAnsi="Times New Roman" w:cs="Times New Roman"/>
                <w:sz w:val="20"/>
                <w:szCs w:val="20"/>
              </w:rPr>
              <w:lastRenderedPageBreak/>
              <w:t>niektórych innych ustaw (druk nr 1433).</w:t>
            </w:r>
          </w:p>
          <w:p w:rsidR="00FF4AF3" w:rsidRPr="00F73B45" w:rsidRDefault="00FF4AF3" w:rsidP="008C1348">
            <w:pPr>
              <w:jc w:val="center"/>
              <w:rPr>
                <w:rFonts w:ascii="Times New Roman" w:hAnsi="Times New Roman" w:cs="Times New Roman"/>
                <w:sz w:val="20"/>
                <w:szCs w:val="20"/>
              </w:rPr>
            </w:pPr>
          </w:p>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Sprawozdanie Komisji Zdrowia (druk 1495) – odrzucić uchwałę Senatu</w:t>
            </w:r>
          </w:p>
          <w:p w:rsidR="00FF4AF3" w:rsidRPr="00F73B45" w:rsidRDefault="00FF4AF3" w:rsidP="008C1348">
            <w:pPr>
              <w:jc w:val="center"/>
              <w:rPr>
                <w:rFonts w:ascii="Times New Roman" w:hAnsi="Times New Roman" w:cs="Times New Roman"/>
                <w:sz w:val="20"/>
                <w:szCs w:val="20"/>
              </w:rPr>
            </w:pPr>
          </w:p>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Posiedzenie Sejmu 11 sierpnia 2021 r. – wniosek o uzupełnienie porządku obrad o Sprawozdanie Komisji</w:t>
            </w:r>
          </w:p>
        </w:tc>
        <w:tc>
          <w:tcPr>
            <w:tcW w:w="1174" w:type="pct"/>
          </w:tcPr>
          <w:p w:rsidR="00FF4AF3" w:rsidRPr="00F73B45" w:rsidRDefault="00D94E96" w:rsidP="000E1A81">
            <w:pPr>
              <w:rPr>
                <w:rFonts w:ascii="Times New Roman" w:hAnsi="Times New Roman" w:cs="Times New Roman"/>
                <w:sz w:val="20"/>
                <w:szCs w:val="20"/>
              </w:rPr>
            </w:pPr>
            <w:hyperlink r:id="rId20" w:history="1">
              <w:r w:rsidR="00FF4AF3" w:rsidRPr="00F73B45">
                <w:rPr>
                  <w:rStyle w:val="Hipercze"/>
                  <w:rFonts w:ascii="Times New Roman" w:hAnsi="Times New Roman" w:cs="Times New Roman"/>
                  <w:sz w:val="20"/>
                  <w:szCs w:val="20"/>
                </w:rPr>
                <w:t>https://orka.sejm.gov.pl/opinie9.nsf/nazwa/1259_u/$file/1259_u.pdf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23 lipca 2021 r. </w:t>
            </w:r>
            <w:r w:rsidRPr="00F73B45">
              <w:rPr>
                <w:rFonts w:ascii="Times New Roman" w:eastAsia="Times New Roman" w:hAnsi="Times New Roman" w:cs="Times New Roman"/>
                <w:b w:val="0"/>
                <w:bCs w:val="0"/>
                <w:color w:val="auto"/>
                <w:sz w:val="20"/>
                <w:szCs w:val="20"/>
                <w:lang w:eastAsia="pl-PL"/>
              </w:rPr>
              <w:lastRenderedPageBreak/>
              <w:t>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 xml:space="preserve">Wchodzi w życie 5 października 2021 r., traci moc 1 stycznia </w:t>
            </w:r>
            <w:r w:rsidRPr="00F73B45">
              <w:rPr>
                <w:rFonts w:ascii="Times New Roman" w:hAnsi="Times New Roman" w:cs="Times New Roman"/>
                <w:sz w:val="20"/>
                <w:szCs w:val="20"/>
              </w:rPr>
              <w:lastRenderedPageBreak/>
              <w:t>2023 r.</w:t>
            </w:r>
          </w:p>
        </w:tc>
        <w:tc>
          <w:tcPr>
            <w:tcW w:w="1174" w:type="pct"/>
          </w:tcPr>
          <w:p w:rsidR="00FF4AF3" w:rsidRPr="00F73B45" w:rsidRDefault="00D94E96" w:rsidP="000E1A81">
            <w:pPr>
              <w:rPr>
                <w:rFonts w:ascii="Times New Roman" w:hAnsi="Times New Roman" w:cs="Times New Roman"/>
                <w:sz w:val="20"/>
                <w:szCs w:val="20"/>
              </w:rPr>
            </w:pPr>
            <w:hyperlink r:id="rId21"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D94E96" w:rsidP="000E1A81">
            <w:pPr>
              <w:rPr>
                <w:rFonts w:ascii="Times New Roman" w:hAnsi="Times New Roman" w:cs="Times New Roman"/>
                <w:sz w:val="20"/>
                <w:szCs w:val="20"/>
              </w:rPr>
            </w:pPr>
            <w:hyperlink r:id="rId22"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D94E96" w:rsidP="000E1A81">
            <w:pPr>
              <w:rPr>
                <w:rFonts w:ascii="Times New Roman" w:hAnsi="Times New Roman" w:cs="Times New Roman"/>
                <w:sz w:val="20"/>
                <w:szCs w:val="20"/>
              </w:rPr>
            </w:pPr>
            <w:hyperlink r:id="rId23"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w:t>
            </w:r>
            <w:r w:rsidRPr="00F73B45">
              <w:rPr>
                <w:rFonts w:ascii="Times New Roman" w:hAnsi="Times New Roman" w:cs="Times New Roman"/>
                <w:b w:val="0"/>
                <w:color w:val="auto"/>
                <w:sz w:val="20"/>
                <w:szCs w:val="20"/>
                <w:shd w:val="clear" w:color="auto" w:fill="FFFFFF"/>
              </w:rPr>
              <w:lastRenderedPageBreak/>
              <w:t>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D94E96" w:rsidP="000E1A81">
            <w:pPr>
              <w:rPr>
                <w:rFonts w:ascii="Times New Roman" w:hAnsi="Times New Roman" w:cs="Times New Roman"/>
                <w:sz w:val="20"/>
                <w:szCs w:val="20"/>
              </w:rPr>
            </w:pPr>
            <w:hyperlink r:id="rId24"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w:t>
            </w:r>
            <w:r w:rsidRPr="00F73B45">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w:t>
            </w:r>
            <w:r w:rsidRPr="00F73B45">
              <w:rPr>
                <w:rFonts w:ascii="Times New Roman" w:eastAsia="Times New Roman" w:hAnsi="Times New Roman" w:cs="Times New Roman"/>
                <w:sz w:val="20"/>
                <w:szCs w:val="20"/>
                <w:lang w:eastAsia="pl-PL"/>
              </w:rPr>
              <w:lastRenderedPageBreak/>
              <w:t>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5"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D94E96" w:rsidP="000E1A81">
            <w:pPr>
              <w:rPr>
                <w:rFonts w:ascii="Times New Roman" w:hAnsi="Times New Roman" w:cs="Times New Roman"/>
                <w:sz w:val="20"/>
                <w:szCs w:val="20"/>
              </w:rPr>
            </w:pPr>
            <w:hyperlink r:id="rId26"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warunków zawierania i realizacji umów w rodzaju leczenie szpitalne oraz leczenie szpitalne – </w:t>
            </w:r>
            <w:r w:rsidRPr="00F73B45">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D94E96" w:rsidP="000E1A81">
            <w:pPr>
              <w:rPr>
                <w:rFonts w:ascii="Times New Roman" w:hAnsi="Times New Roman" w:cs="Times New Roman"/>
                <w:sz w:val="20"/>
                <w:szCs w:val="20"/>
              </w:rPr>
            </w:pPr>
            <w:hyperlink r:id="rId27"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D94E96" w:rsidP="000E1A81">
            <w:pPr>
              <w:rPr>
                <w:rFonts w:ascii="Times New Roman" w:hAnsi="Times New Roman" w:cs="Times New Roman"/>
                <w:sz w:val="20"/>
                <w:szCs w:val="20"/>
              </w:rPr>
            </w:pPr>
            <w:hyperlink r:id="rId28"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D94E96" w:rsidP="000E1A81">
            <w:pPr>
              <w:rPr>
                <w:rFonts w:ascii="Times New Roman" w:hAnsi="Times New Roman" w:cs="Times New Roman"/>
                <w:sz w:val="20"/>
                <w:szCs w:val="20"/>
              </w:rPr>
            </w:pPr>
            <w:hyperlink r:id="rId29"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w:t>
            </w:r>
            <w:r w:rsidRPr="00F73B45">
              <w:rPr>
                <w:rFonts w:ascii="Times New Roman" w:hAnsi="Times New Roman" w:cs="Times New Roman"/>
                <w:sz w:val="20"/>
                <w:szCs w:val="20"/>
              </w:rPr>
              <w:lastRenderedPageBreak/>
              <w:t>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w:t>
            </w:r>
            <w:r w:rsidRPr="00F73B45">
              <w:rPr>
                <w:rFonts w:ascii="Times New Roman" w:hAnsi="Times New Roman" w:cs="Times New Roman"/>
                <w:b w:val="0"/>
                <w:color w:val="auto"/>
                <w:sz w:val="20"/>
                <w:szCs w:val="20"/>
                <w:shd w:val="clear" w:color="auto" w:fill="FFFFFF"/>
              </w:rPr>
              <w:lastRenderedPageBreak/>
              <w:t>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D94E96" w:rsidP="000E1A81">
            <w:pPr>
              <w:rPr>
                <w:rFonts w:ascii="Times New Roman" w:hAnsi="Times New Roman" w:cs="Times New Roman"/>
                <w:sz w:val="20"/>
                <w:szCs w:val="20"/>
              </w:rPr>
            </w:pPr>
            <w:hyperlink r:id="rId30"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D94E96" w:rsidP="000E1A81">
            <w:pPr>
              <w:rPr>
                <w:rFonts w:ascii="Times New Roman" w:hAnsi="Times New Roman" w:cs="Times New Roman"/>
                <w:sz w:val="20"/>
                <w:szCs w:val="20"/>
              </w:rPr>
            </w:pPr>
            <w:hyperlink r:id="rId31"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w:t>
            </w:r>
            <w:r w:rsidRPr="00F73B45">
              <w:rPr>
                <w:rFonts w:ascii="Times New Roman" w:hAnsi="Times New Roman" w:cs="Times New Roman"/>
                <w:b w:val="0"/>
                <w:color w:val="auto"/>
                <w:sz w:val="20"/>
                <w:szCs w:val="20"/>
                <w:shd w:val="clear" w:color="auto" w:fill="FFFFFF"/>
              </w:rPr>
              <w:lastRenderedPageBreak/>
              <w:t>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D94E96" w:rsidP="000E1A81">
            <w:pPr>
              <w:rPr>
                <w:rFonts w:ascii="Times New Roman" w:hAnsi="Times New Roman" w:cs="Times New Roman"/>
                <w:sz w:val="20"/>
                <w:szCs w:val="20"/>
              </w:rPr>
            </w:pPr>
            <w:hyperlink r:id="rId32"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D94E96" w:rsidP="000E1A81">
            <w:pPr>
              <w:rPr>
                <w:rFonts w:ascii="Times New Roman" w:hAnsi="Times New Roman" w:cs="Times New Roman"/>
                <w:sz w:val="20"/>
                <w:szCs w:val="20"/>
              </w:rPr>
            </w:pPr>
            <w:hyperlink r:id="rId33"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w:t>
            </w:r>
            <w:r w:rsidRPr="00F73B45">
              <w:rPr>
                <w:rFonts w:ascii="Times New Roman" w:hAnsi="Times New Roman" w:cs="Times New Roman"/>
                <w:b w:val="0"/>
                <w:color w:val="auto"/>
                <w:sz w:val="20"/>
                <w:szCs w:val="20"/>
                <w:shd w:val="clear" w:color="auto" w:fill="FFFFFF"/>
              </w:rPr>
              <w:lastRenderedPageBreak/>
              <w:t>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w:t>
            </w:r>
            <w:r w:rsidRPr="00F73B45">
              <w:rPr>
                <w:rFonts w:ascii="Times New Roman" w:eastAsia="Times New Roman" w:hAnsi="Times New Roman" w:cs="Times New Roman"/>
                <w:sz w:val="20"/>
                <w:szCs w:val="20"/>
                <w:lang w:eastAsia="pl-PL"/>
              </w:rPr>
              <w:lastRenderedPageBreak/>
              <w:t xml:space="preserve">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D94E96" w:rsidP="000E1A81">
            <w:pPr>
              <w:rPr>
                <w:rFonts w:ascii="Times New Roman" w:hAnsi="Times New Roman" w:cs="Times New Roman"/>
                <w:sz w:val="20"/>
                <w:szCs w:val="20"/>
              </w:rPr>
            </w:pPr>
            <w:hyperlink r:id="rId34"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w:t>
            </w:r>
            <w:r w:rsidRPr="00F73B45">
              <w:rPr>
                <w:rFonts w:ascii="Times New Roman" w:eastAsia="Times New Roman" w:hAnsi="Times New Roman" w:cs="Times New Roman"/>
                <w:sz w:val="20"/>
                <w:szCs w:val="20"/>
                <w:lang w:eastAsia="pl-PL"/>
              </w:rPr>
              <w:lastRenderedPageBreak/>
              <w:t>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5"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D94E96" w:rsidP="000E1A81">
            <w:pPr>
              <w:rPr>
                <w:rStyle w:val="Hipercze"/>
                <w:rFonts w:ascii="Times New Roman" w:hAnsi="Times New Roman" w:cs="Times New Roman"/>
                <w:sz w:val="20"/>
                <w:szCs w:val="20"/>
              </w:rPr>
            </w:pPr>
            <w:hyperlink r:id="rId36"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D94E96" w:rsidP="000E1A81">
            <w:pPr>
              <w:rPr>
                <w:rFonts w:ascii="Times New Roman" w:hAnsi="Times New Roman" w:cs="Times New Roman"/>
                <w:sz w:val="20"/>
                <w:szCs w:val="20"/>
              </w:rPr>
            </w:pPr>
            <w:hyperlink r:id="rId37"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8"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D94E96" w:rsidP="000E1A81">
            <w:pPr>
              <w:rPr>
                <w:rFonts w:ascii="Times New Roman" w:hAnsi="Times New Roman" w:cs="Times New Roman"/>
                <w:sz w:val="20"/>
                <w:szCs w:val="20"/>
              </w:rPr>
            </w:pPr>
            <w:hyperlink r:id="rId39"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w:t>
            </w:r>
            <w:r w:rsidRPr="00F73B45">
              <w:rPr>
                <w:rFonts w:ascii="Times New Roman" w:eastAsia="Times New Roman" w:hAnsi="Times New Roman" w:cs="Times New Roman"/>
                <w:b w:val="0"/>
                <w:bCs w:val="0"/>
                <w:color w:val="auto"/>
                <w:sz w:val="20"/>
                <w:szCs w:val="20"/>
                <w:lang w:eastAsia="pl-PL"/>
              </w:rPr>
              <w:lastRenderedPageBreak/>
              <w:t>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D94E96" w:rsidP="000E1A81">
            <w:pPr>
              <w:rPr>
                <w:rFonts w:ascii="Times New Roman" w:hAnsi="Times New Roman" w:cs="Times New Roman"/>
                <w:sz w:val="20"/>
                <w:szCs w:val="20"/>
              </w:rPr>
            </w:pPr>
            <w:hyperlink r:id="rId40"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41"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D94E96" w:rsidP="000E1A81">
            <w:pPr>
              <w:rPr>
                <w:rFonts w:ascii="Times New Roman" w:hAnsi="Times New Roman" w:cs="Times New Roman"/>
                <w:sz w:val="20"/>
                <w:szCs w:val="20"/>
              </w:rPr>
            </w:pPr>
            <w:hyperlink r:id="rId42"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D94E96" w:rsidP="000E1A81">
            <w:pPr>
              <w:rPr>
                <w:rFonts w:ascii="Times New Roman" w:hAnsi="Times New Roman" w:cs="Times New Roman"/>
                <w:sz w:val="20"/>
                <w:szCs w:val="20"/>
              </w:rPr>
            </w:pPr>
            <w:hyperlink r:id="rId43"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Uchwała Rady Ministrów </w:t>
            </w:r>
          </w:p>
        </w:tc>
        <w:tc>
          <w:tcPr>
            <w:tcW w:w="559" w:type="pct"/>
          </w:tcPr>
          <w:p w:rsidR="00FF4AF3" w:rsidRPr="00F73B45" w:rsidRDefault="00FF4AF3" w:rsidP="00A506D2">
            <w:pPr>
              <w:pStyle w:val="Nagwek1"/>
              <w:outlineLvl w:val="0"/>
              <w:rPr>
                <w:rFonts w:ascii="Times New Roman" w:hAnsi="Times New Roman" w:cs="Times New Roman"/>
                <w:sz w:val="20"/>
                <w:szCs w:val="20"/>
              </w:rPr>
            </w:pPr>
            <w:bookmarkStart w:id="4" w:name="_Toc78526347"/>
            <w:r w:rsidRPr="00F73B45">
              <w:rPr>
                <w:rFonts w:ascii="Times New Roman" w:eastAsia="Times New Roman" w:hAnsi="Times New Roman" w:cs="Times New Roman"/>
                <w:b w:val="0"/>
                <w:bCs w:val="0"/>
                <w:color w:val="auto"/>
                <w:sz w:val="20"/>
                <w:szCs w:val="20"/>
                <w:lang w:eastAsia="pl-PL"/>
              </w:rPr>
              <w:t xml:space="preserve">Projekt uchwały Rady Ministrów w sprawie prowadzenia </w:t>
            </w:r>
            <w:r w:rsidRPr="00F73B45">
              <w:rPr>
                <w:rFonts w:ascii="Times New Roman" w:eastAsia="Times New Roman" w:hAnsi="Times New Roman" w:cs="Times New Roman"/>
                <w:b w:val="0"/>
                <w:bCs w:val="0"/>
                <w:color w:val="auto"/>
                <w:sz w:val="20"/>
                <w:szCs w:val="20"/>
                <w:lang w:eastAsia="pl-PL"/>
              </w:rPr>
              <w:lastRenderedPageBreak/>
              <w:t>międzynarodowych działań solidarnościowych w celu profilaktyki i zwalczania zachorowań na chorobę COVID-19 oraz wyrażenia zgody na udostępnienie partnerom zagranicznym szczepionek przeciw COVID-19</w:t>
            </w:r>
            <w:bookmarkEnd w:id="4"/>
          </w:p>
        </w:tc>
        <w:tc>
          <w:tcPr>
            <w:tcW w:w="2115" w:type="pct"/>
          </w:tcPr>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FD7103">
            <w:pPr>
              <w:rPr>
                <w:rFonts w:ascii="Times New Roman" w:hAnsi="Times New Roman" w:cs="Times New Roman"/>
                <w:sz w:val="20"/>
                <w:szCs w:val="20"/>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w:t>
            </w:r>
            <w:r w:rsidRPr="00F73B45">
              <w:rPr>
                <w:rFonts w:ascii="Times New Roman" w:hAnsi="Times New Roman" w:cs="Times New Roman"/>
                <w:sz w:val="20"/>
                <w:szCs w:val="20"/>
              </w:rPr>
              <w:lastRenderedPageBreak/>
              <w:t>III kwartał 2021 r.</w:t>
            </w:r>
          </w:p>
        </w:tc>
        <w:tc>
          <w:tcPr>
            <w:tcW w:w="1174" w:type="pct"/>
          </w:tcPr>
          <w:p w:rsidR="00FF4AF3" w:rsidRPr="00F73B45" w:rsidRDefault="00D94E96" w:rsidP="000E1A81">
            <w:pPr>
              <w:rPr>
                <w:rFonts w:ascii="Times New Roman" w:hAnsi="Times New Roman" w:cs="Times New Roman"/>
                <w:b/>
                <w:sz w:val="20"/>
                <w:szCs w:val="20"/>
              </w:rPr>
            </w:pPr>
            <w:hyperlink r:id="rId44" w:history="1">
              <w:r w:rsidR="00FF4AF3" w:rsidRPr="00F73B45">
                <w:rPr>
                  <w:rStyle w:val="Hipercze"/>
                  <w:rFonts w:ascii="Times New Roman" w:hAnsi="Times New Roman" w:cs="Times New Roman"/>
                  <w:sz w:val="20"/>
                  <w:szCs w:val="20"/>
                </w:rPr>
                <w:t xml:space="preserve">Projekt uchwały Rady Ministrów w sprawie prowadzenia międzynarodowych działań solidarnościowych w celu profilaktyki i zwalczania zachorowań na chorobę COVID-19 oraz wyrażenia zgody na </w:t>
              </w:r>
              <w:r w:rsidR="00FF4AF3" w:rsidRPr="00F73B45">
                <w:rPr>
                  <w:rStyle w:val="Hipercze"/>
                  <w:rFonts w:ascii="Times New Roman" w:hAnsi="Times New Roman" w:cs="Times New Roman"/>
                  <w:sz w:val="20"/>
                  <w:szCs w:val="20"/>
                </w:rPr>
                <w:lastRenderedPageBreak/>
                <w:t>udostępnienie partnerom zagranicznym szczepionek przeciw COVID-19 -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5"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w:t>
            </w:r>
            <w:r w:rsidRPr="00F73B45">
              <w:rPr>
                <w:rFonts w:ascii="Times New Roman" w:hAnsi="Times New Roman" w:cs="Times New Roman"/>
                <w:b w:val="0"/>
                <w:color w:val="auto"/>
                <w:sz w:val="20"/>
                <w:szCs w:val="20"/>
                <w:shd w:val="clear" w:color="auto" w:fill="FFFFFF"/>
              </w:rPr>
              <w:lastRenderedPageBreak/>
              <w:t>ch, partnerom zagranicznym: Albanii, Bośni i Hercegowinie, Białorusi, Czarnogórze, Gruzji, Macedonii Północnej, Republice Kosowa, Serbii oraz Ukrainie</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D94E96" w:rsidP="000E1A81">
            <w:pPr>
              <w:rPr>
                <w:rFonts w:ascii="Times New Roman" w:hAnsi="Times New Roman" w:cs="Times New Roman"/>
                <w:b/>
                <w:sz w:val="20"/>
                <w:szCs w:val="20"/>
              </w:rPr>
            </w:pPr>
            <w:hyperlink r:id="rId45"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6"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6"/>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46"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47"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ustawy o jakości w opiece zdrowotnej i bezpieczeństwie pacjenta </w:t>
              </w:r>
              <w:r w:rsidRPr="00F73B45">
                <w:rPr>
                  <w:rStyle w:val="Hipercze"/>
                  <w:rFonts w:ascii="Times New Roman" w:hAnsi="Times New Roman" w:cs="Times New Roman"/>
                  <w:sz w:val="20"/>
                  <w:szCs w:val="20"/>
                </w:rPr>
                <w:lastRenderedPageBreak/>
                <w:t>- co czeka świadczeniodawców? - LEX</w:t>
              </w:r>
            </w:hyperlink>
          </w:p>
        </w:tc>
        <w:tc>
          <w:tcPr>
            <w:tcW w:w="1174" w:type="pct"/>
          </w:tcPr>
          <w:p w:rsidR="00FF4AF3" w:rsidRPr="00F73B45" w:rsidRDefault="00D94E96" w:rsidP="000E1A81">
            <w:pPr>
              <w:rPr>
                <w:rFonts w:ascii="Times New Roman" w:hAnsi="Times New Roman" w:cs="Times New Roman"/>
                <w:b/>
                <w:sz w:val="20"/>
                <w:szCs w:val="20"/>
              </w:rPr>
            </w:pPr>
            <w:hyperlink r:id="rId48"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7" w:name="_Toc78526351"/>
            <w:r w:rsidRPr="00F73B45">
              <w:rPr>
                <w:rFonts w:ascii="Times New Roman" w:hAnsi="Times New Roman" w:cs="Times New Roman"/>
                <w:b w:val="0"/>
                <w:color w:val="auto"/>
                <w:sz w:val="20"/>
                <w:szCs w:val="20"/>
                <w:shd w:val="clear" w:color="auto" w:fill="FFFFFF"/>
              </w:rPr>
              <w:t>Projekt ustawy o zmianie ustawy o produktach biobójczych</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FF4AF3" w:rsidRPr="00F73B45" w:rsidRDefault="00FF4AF3" w:rsidP="00D55C6A">
            <w:pPr>
              <w:pStyle w:val="NormalnyWeb"/>
              <w:rPr>
                <w:color w:val="000000"/>
                <w:sz w:val="20"/>
                <w:szCs w:val="20"/>
              </w:rPr>
            </w:pPr>
            <w:r w:rsidRPr="00F73B45">
              <w:rPr>
                <w:color w:val="000000"/>
                <w:sz w:val="20"/>
                <w:szCs w:val="20"/>
              </w:rPr>
              <w:t xml:space="preserve">Ponadto przedmiotowy projekt doprecyzowuje obowiązujące przepisy ww. ustawy służące właściwemu stosowaniu rozporządzenia Parlamentu Europejskiego i Rady (UE) nr 528/2012 z dnia 22 maja 2012 r. w sprawie udostępniania na rynku i stosowania produktów </w:t>
            </w:r>
            <w:r w:rsidRPr="00F73B45">
              <w:rPr>
                <w:color w:val="000000"/>
                <w:sz w:val="20"/>
                <w:szCs w:val="20"/>
              </w:rPr>
              <w:lastRenderedPageBreak/>
              <w:t>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FF4AF3" w:rsidRPr="00F73B45" w:rsidRDefault="00FF4AF3" w:rsidP="00D55C6A">
            <w:pPr>
              <w:pStyle w:val="NormalnyWeb"/>
              <w:rPr>
                <w:color w:val="000000"/>
                <w:sz w:val="20"/>
                <w:szCs w:val="20"/>
              </w:rPr>
            </w:pPr>
            <w:r w:rsidRPr="00F73B45">
              <w:rPr>
                <w:color w:val="000000"/>
                <w:sz w:val="20"/>
                <w:szCs w:val="20"/>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D94E96" w:rsidP="000E1A81">
            <w:pPr>
              <w:rPr>
                <w:rFonts w:ascii="Times New Roman" w:hAnsi="Times New Roman" w:cs="Times New Roman"/>
                <w:b/>
                <w:sz w:val="20"/>
                <w:szCs w:val="20"/>
              </w:rPr>
            </w:pPr>
            <w:hyperlink r:id="rId49" w:history="1">
              <w:r w:rsidR="00FF4AF3" w:rsidRPr="00F73B45">
                <w:rPr>
                  <w:rStyle w:val="Hipercze"/>
                  <w:rFonts w:ascii="Times New Roman" w:hAnsi="Times New Roman" w:cs="Times New Roman"/>
                  <w:sz w:val="20"/>
                  <w:szCs w:val="20"/>
                </w:rPr>
                <w:t>Projekt ustawy o zmianie ustawy o produktach biobójczych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8"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8"/>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 xml:space="preserve">Z uwagi na to, że choroby rzadkie stanowią istotne wyzwanie dla opieki zdrowotnej i społecznej, dotykając 6-8% populacji każdego kraju (w Polsce to około 2 do 3 milionów osób) istnieje konieczność jak najszybszego poprawienia dostępności do diagnostyki i leczenia osób z </w:t>
            </w:r>
            <w:r w:rsidRPr="00F73B45">
              <w:rPr>
                <w:color w:val="000000"/>
                <w:sz w:val="20"/>
                <w:szCs w:val="20"/>
              </w:rPr>
              <w:lastRenderedPageBreak/>
              <w:t>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D94E96" w:rsidP="000E1A81">
            <w:pPr>
              <w:rPr>
                <w:rFonts w:ascii="Times New Roman" w:hAnsi="Times New Roman" w:cs="Times New Roman"/>
                <w:b/>
                <w:sz w:val="20"/>
                <w:szCs w:val="20"/>
              </w:rPr>
            </w:pPr>
            <w:hyperlink r:id="rId50"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9"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9"/>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 xml:space="preserve">Mając na uwadze powyższe, zasadne jest stworzenie jednej jednostki działającej w obszarze kształcenia podyplomowego wszystkich </w:t>
            </w:r>
            <w:r w:rsidRPr="00F73B45">
              <w:rPr>
                <w:color w:val="000000"/>
                <w:sz w:val="20"/>
                <w:szCs w:val="20"/>
              </w:rPr>
              <w:lastRenderedPageBreak/>
              <w:t>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D94E96" w:rsidP="000E1A81">
            <w:pPr>
              <w:rPr>
                <w:rFonts w:ascii="Times New Roman" w:hAnsi="Times New Roman" w:cs="Times New Roman"/>
                <w:b/>
                <w:sz w:val="20"/>
                <w:szCs w:val="20"/>
              </w:rPr>
            </w:pPr>
            <w:hyperlink r:id="rId5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ab/>
            </w:r>
          </w:p>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10" w:name="_Toc78526355"/>
            <w:r w:rsidRPr="00F73B45">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dla systemu ochrony zdrowia na lata 2021-2027”</w:t>
            </w:r>
            <w:bookmarkEnd w:id="10"/>
          </w:p>
        </w:tc>
        <w:tc>
          <w:tcPr>
            <w:tcW w:w="2115" w:type="pct"/>
          </w:tcPr>
          <w:p w:rsidR="00FF4AF3" w:rsidRPr="00F73B45" w:rsidRDefault="00FF4AF3" w:rsidP="00D55C6A">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FF4AF3" w:rsidRPr="00F73B45" w:rsidRDefault="00FF4AF3" w:rsidP="00D55C6A">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w:t>
            </w:r>
            <w:r w:rsidRPr="00F73B45">
              <w:rPr>
                <w:color w:val="000000"/>
                <w:sz w:val="20"/>
                <w:szCs w:val="20"/>
              </w:rPr>
              <w:lastRenderedPageBreak/>
              <w:t xml:space="preserve">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FF4AF3" w:rsidRPr="00F73B45" w:rsidRDefault="00FF4AF3" w:rsidP="00D55C6A">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FF4AF3" w:rsidRPr="00F73B45" w:rsidRDefault="00FF4AF3" w:rsidP="00D55C6A">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t>
            </w:r>
            <w:r w:rsidRPr="00F73B45">
              <w:rPr>
                <w:color w:val="000000"/>
                <w:sz w:val="20"/>
                <w:szCs w:val="20"/>
              </w:rPr>
              <w:lastRenderedPageBreak/>
              <w:t xml:space="preserve">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FF4AF3" w:rsidRPr="00F73B45" w:rsidRDefault="00FF4AF3" w:rsidP="00D55C6A">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FF4AF3" w:rsidRPr="00F73B45" w:rsidRDefault="00FF4AF3" w:rsidP="00D55C6A">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w:t>
            </w:r>
            <w:r w:rsidRPr="00F73B45">
              <w:rPr>
                <w:color w:val="000000"/>
                <w:sz w:val="20"/>
                <w:szCs w:val="20"/>
              </w:rPr>
              <w:lastRenderedPageBreak/>
              <w:t xml:space="preserve">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FF4AF3" w:rsidRPr="00F73B45" w:rsidRDefault="00FF4AF3" w:rsidP="00D55C6A">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FF4AF3" w:rsidRPr="00F73B45" w:rsidRDefault="00FF4AF3" w:rsidP="00D55C6A">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FF4AF3" w:rsidRPr="00F73B45" w:rsidRDefault="00FF4AF3" w:rsidP="00D55C6A">
            <w:pPr>
              <w:pStyle w:val="NormalnyWeb"/>
              <w:rPr>
                <w:color w:val="000000"/>
                <w:sz w:val="20"/>
                <w:szCs w:val="20"/>
              </w:rPr>
            </w:pPr>
            <w:r w:rsidRPr="00F73B45">
              <w:rPr>
                <w:color w:val="000000"/>
                <w:sz w:val="20"/>
                <w:szCs w:val="20"/>
              </w:rPr>
              <w:t xml:space="preserve">Kolejnym przyczynkiem do opracowania i wdrożenia projektowanego dokumentu strategicznego są zobowiązania Rzeczypospolitej Polskiej </w:t>
            </w:r>
            <w:r w:rsidRPr="00F73B45">
              <w:rPr>
                <w:color w:val="000000"/>
                <w:sz w:val="20"/>
                <w:szCs w:val="20"/>
              </w:rPr>
              <w:lastRenderedPageBreak/>
              <w:t>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D94E96" w:rsidP="000E1A81">
            <w:pPr>
              <w:rPr>
                <w:rFonts w:ascii="Times New Roman" w:hAnsi="Times New Roman" w:cs="Times New Roman"/>
                <w:b/>
                <w:sz w:val="20"/>
                <w:szCs w:val="20"/>
              </w:rPr>
            </w:pPr>
            <w:hyperlink r:id="rId52" w:history="1">
              <w:r w:rsidR="00FF4AF3" w:rsidRPr="00F73B4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96" w:rsidRDefault="00D94E96" w:rsidP="000E1A81">
      <w:pPr>
        <w:spacing w:after="0" w:line="240" w:lineRule="auto"/>
      </w:pPr>
      <w:r>
        <w:separator/>
      </w:r>
    </w:p>
  </w:endnote>
  <w:endnote w:type="continuationSeparator" w:id="0">
    <w:p w:rsidR="00D94E96" w:rsidRDefault="00D94E96"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A506D2" w:rsidRDefault="00A506D2">
        <w:pPr>
          <w:pStyle w:val="Stopka"/>
          <w:jc w:val="center"/>
        </w:pPr>
        <w:r>
          <w:fldChar w:fldCharType="begin"/>
        </w:r>
        <w:r>
          <w:instrText>PAGE   \* MERGEFORMAT</w:instrText>
        </w:r>
        <w:r>
          <w:fldChar w:fldCharType="separate"/>
        </w:r>
        <w:r w:rsidR="008A47BD">
          <w:rPr>
            <w:noProof/>
          </w:rPr>
          <w:t>8</w:t>
        </w:r>
        <w:r>
          <w:fldChar w:fldCharType="end"/>
        </w:r>
      </w:p>
    </w:sdtContent>
  </w:sdt>
  <w:p w:rsidR="00A506D2" w:rsidRDefault="00A506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96" w:rsidRDefault="00D94E96" w:rsidP="000E1A81">
      <w:pPr>
        <w:spacing w:after="0" w:line="240" w:lineRule="auto"/>
      </w:pPr>
      <w:r>
        <w:separator/>
      </w:r>
    </w:p>
  </w:footnote>
  <w:footnote w:type="continuationSeparator" w:id="0">
    <w:p w:rsidR="00D94E96" w:rsidRDefault="00D94E96"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9595E"/>
    <w:rsid w:val="000B0478"/>
    <w:rsid w:val="000E1A81"/>
    <w:rsid w:val="0014560B"/>
    <w:rsid w:val="00190E40"/>
    <w:rsid w:val="001B7E94"/>
    <w:rsid w:val="00204EC6"/>
    <w:rsid w:val="00236005"/>
    <w:rsid w:val="00292EC2"/>
    <w:rsid w:val="002A6F35"/>
    <w:rsid w:val="003206B3"/>
    <w:rsid w:val="00340FC9"/>
    <w:rsid w:val="0034283B"/>
    <w:rsid w:val="003466C7"/>
    <w:rsid w:val="003906F8"/>
    <w:rsid w:val="0045409D"/>
    <w:rsid w:val="004B4717"/>
    <w:rsid w:val="004D7474"/>
    <w:rsid w:val="004E5548"/>
    <w:rsid w:val="00503B55"/>
    <w:rsid w:val="00596005"/>
    <w:rsid w:val="006459EE"/>
    <w:rsid w:val="00656203"/>
    <w:rsid w:val="00656BDD"/>
    <w:rsid w:val="006B1B96"/>
    <w:rsid w:val="006C4963"/>
    <w:rsid w:val="006C55F5"/>
    <w:rsid w:val="006C7E2A"/>
    <w:rsid w:val="007408CE"/>
    <w:rsid w:val="007C5681"/>
    <w:rsid w:val="007C6B85"/>
    <w:rsid w:val="007F151E"/>
    <w:rsid w:val="008A47BD"/>
    <w:rsid w:val="008C1348"/>
    <w:rsid w:val="008F6DD5"/>
    <w:rsid w:val="00922EB4"/>
    <w:rsid w:val="0096629F"/>
    <w:rsid w:val="009B7E25"/>
    <w:rsid w:val="009E66FC"/>
    <w:rsid w:val="00A13DF2"/>
    <w:rsid w:val="00A506D2"/>
    <w:rsid w:val="00A85F1F"/>
    <w:rsid w:val="00BA16CB"/>
    <w:rsid w:val="00BA3D37"/>
    <w:rsid w:val="00C85626"/>
    <w:rsid w:val="00CA76DC"/>
    <w:rsid w:val="00D01FD4"/>
    <w:rsid w:val="00D067A4"/>
    <w:rsid w:val="00D2765A"/>
    <w:rsid w:val="00D55C6A"/>
    <w:rsid w:val="00D94E96"/>
    <w:rsid w:val="00DB3B7E"/>
    <w:rsid w:val="00DE0865"/>
    <w:rsid w:val="00E17B5C"/>
    <w:rsid w:val="00E3101A"/>
    <w:rsid w:val="00E63911"/>
    <w:rsid w:val="00E81945"/>
    <w:rsid w:val="00ED7D04"/>
    <w:rsid w:val="00EE139A"/>
    <w:rsid w:val="00F024DA"/>
    <w:rsid w:val="00F30DEC"/>
    <w:rsid w:val="00F73B45"/>
    <w:rsid w:val="00F942C4"/>
    <w:rsid w:val="00FA5193"/>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mz.mz.gov.pl/DUM_MZ/2021/59/akt.pdf" TargetMode="External"/><Relationship Id="rId18" Type="http://schemas.openxmlformats.org/officeDocument/2006/relationships/hyperlink" Target="https://orka.sejm.gov.pl/Druki9ka.nsf/0/1F3E2EAB9E74FD2DC125867900420CBA/%24File/927.pdf" TargetMode="External"/><Relationship Id="rId26" Type="http://schemas.openxmlformats.org/officeDocument/2006/relationships/hyperlink" Target="https://legislacja.gov.pl/docs/516/12349853/12808531/12808532/dokument516319.pdf" TargetMode="External"/><Relationship Id="rId39" Type="http://schemas.openxmlformats.org/officeDocument/2006/relationships/hyperlink" Target="https://legislacja.gov.pl/projekt/12349604" TargetMode="External"/><Relationship Id="rId21" Type="http://schemas.openxmlformats.org/officeDocument/2006/relationships/hyperlink" Target="https://dziennikustaw.gov.pl/D2021000144801.pdf" TargetMode="External"/><Relationship Id="rId34" Type="http://schemas.openxmlformats.org/officeDocument/2006/relationships/hyperlink" Target="https://www.nfz.gov.pl/zarzadzenia-prezesa/zarzadzenia-prezesa-nfz/zarzadzenie-nr-1372021dsoz,7400.html" TargetMode="External"/><Relationship Id="rId42" Type="http://schemas.openxmlformats.org/officeDocument/2006/relationships/hyperlink" Target="https://legislacja.rcl.gov.pl/projekt/12349551/katalog/12806595" TargetMode="External"/><Relationship Id="rId47" Type="http://schemas.openxmlformats.org/officeDocument/2006/relationships/hyperlink" Target="https://sip.lex.pl/" TargetMode="External"/><Relationship Id="rId5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cja.gov.pl/docs/516/12350102/12809954/12809955/dokument517145.pdf" TargetMode="External"/><Relationship Id="rId17" Type="http://schemas.openxmlformats.org/officeDocument/2006/relationships/hyperlink" Target="https://dziennikustaw.gov.pl/D2021000145801.pdf" TargetMode="External"/><Relationship Id="rId25" Type="http://schemas.openxmlformats.org/officeDocument/2006/relationships/hyperlink" Target="mailto:dep-zp@mz.gov.pl" TargetMode="External"/><Relationship Id="rId33" Type="http://schemas.openxmlformats.org/officeDocument/2006/relationships/hyperlink" Target="https://www.nfz.gov.pl/zarzadzenia-prezesa/zarzadzenia-prezesa-nfz/zarzadzenie-nr-1382021dsoz,7401.html" TargetMode="External"/><Relationship Id="rId38" Type="http://schemas.openxmlformats.org/officeDocument/2006/relationships/hyperlink" Target="mailto:e.mianowska@mz.gov.pl" TargetMode="External"/><Relationship Id="rId46" Type="http://schemas.openxmlformats.org/officeDocument/2006/relationships/hyperlink" Target="mailto:dep-dl@mz.gov.pl" TargetMode="External"/><Relationship Id="rId2" Type="http://schemas.openxmlformats.org/officeDocument/2006/relationships/numbering" Target="numbering.xml"/><Relationship Id="rId16" Type="http://schemas.openxmlformats.org/officeDocument/2006/relationships/hyperlink" Target="https://www.nfz.gov.pl/zarzadzenia-prezesa/zarzadzenia-prezesa-nfz/zarzadzenie-nr-1422021def,7404.html" TargetMode="External"/><Relationship Id="rId20" Type="http://schemas.openxmlformats.org/officeDocument/2006/relationships/hyperlink" Target="https://orka.sejm.gov.pl/opinie9.nsf/nazwa/1259_u/$file/1259_u.pdf" TargetMode="External"/><Relationship Id="rId29" Type="http://schemas.openxmlformats.org/officeDocument/2006/relationships/hyperlink" Target="https://dziennikustaw.gov.pl/D2021000142201.pdf" TargetMode="External"/><Relationship Id="rId41" Type="http://schemas.openxmlformats.org/officeDocument/2006/relationships/hyperlink" Target="mailto:t.janus@mz.gov.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zp@mz.gov.pl" TargetMode="External"/><Relationship Id="rId24" Type="http://schemas.openxmlformats.org/officeDocument/2006/relationships/hyperlink" Target="http://dziennikmz.mz.gov.pl/DUM_MZ/2021/58/akt.pdf" TargetMode="External"/><Relationship Id="rId32" Type="http://schemas.openxmlformats.org/officeDocument/2006/relationships/hyperlink" Target="http://dziennikmz.mz.gov.pl/DUM_MZ/2021/56/akt.pdf" TargetMode="External"/><Relationship Id="rId37" Type="http://schemas.openxmlformats.org/officeDocument/2006/relationships/hyperlink" Target="https://www.gov.pl/web/rpp/rop-dyskutuje-o-nowelizacji-ustawy-refundacyjnej" TargetMode="External"/><Relationship Id="rId40" Type="http://schemas.openxmlformats.org/officeDocument/2006/relationships/hyperlink" Target="https://www.nfz.gov.pl/zarzadzenia-prezesa/zarzadzenia-prezesa-nfz/zarzadzenie-nr-1622020dgl-tekst-ujednolicony,7399.html" TargetMode="External"/><Relationship Id="rId45"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fz.gov.pl/zarzadzenia-prezesa/zarzadzenia-prezesa-nfz/zarzadzenie-nr-1432021def,7405.html" TargetMode="External"/><Relationship Id="rId23" Type="http://schemas.openxmlformats.org/officeDocument/2006/relationships/hyperlink" Target="https://dziennikustaw.gov.pl/D2021000142901.pdf" TargetMode="External"/><Relationship Id="rId28" Type="http://schemas.openxmlformats.org/officeDocument/2006/relationships/hyperlink" Target="https://dziennikustaw.gov.pl/D2021000142101.pdf" TargetMode="External"/><Relationship Id="rId36" Type="http://schemas.openxmlformats.org/officeDocument/2006/relationships/hyperlink" Target="https://legislacja.rcl.gov.pl/projekt/12348505" TargetMode="External"/><Relationship Id="rId49" Type="http://schemas.openxmlformats.org/officeDocument/2006/relationships/hyperlink" Target="https://archiwum.bip.kprm.gov.pl/kpr/bip-rady-ministrow/prace-legislacyjne-rm-i/prace-legislacyjne-rady/wykaz-prac-legislacyjny/r21487047,Projekt-ustawy-o-zmianie-ustawy-o-produktach-biobojczych.html" TargetMode="External"/><Relationship Id="rId10" Type="http://schemas.openxmlformats.org/officeDocument/2006/relationships/hyperlink" Target="https://dziennikustaw.gov.pl/D2021000147601.pdf" TargetMode="External"/><Relationship Id="rId19" Type="http://schemas.openxmlformats.org/officeDocument/2006/relationships/hyperlink" Target="https://orka.sejm.gov.pl/Druki9ka.nsf/0/429FA33770635878C125869A003F22C3/%24File/1018.pdf" TargetMode="External"/><Relationship Id="rId31" Type="http://schemas.openxmlformats.org/officeDocument/2006/relationships/hyperlink" Target="https://sejm.gov.pl/Sejm9.nsf/druk.xsp?nr=1449" TargetMode="External"/><Relationship Id="rId44"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52"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4" Type="http://schemas.microsoft.com/office/2007/relationships/stylesWithEffects" Target="stylesWithEffects.xml"/><Relationship Id="rId9" Type="http://schemas.openxmlformats.org/officeDocument/2006/relationships/hyperlink" Target="file:///C:\Users\m.tomczuk\Downloads\484.pdf" TargetMode="External"/><Relationship Id="rId14" Type="http://schemas.openxmlformats.org/officeDocument/2006/relationships/hyperlink" Target="https://dziennikustaw.gov.pl/D2021000146801.pdf" TargetMode="External"/><Relationship Id="rId22" Type="http://schemas.openxmlformats.org/officeDocument/2006/relationships/hyperlink" Target="https://www.senat.gov.pl/prace/druki/record,11468.html" TargetMode="External"/><Relationship Id="rId27" Type="http://schemas.openxmlformats.org/officeDocument/2006/relationships/hyperlink" Target="https://www.nfz.gov.pl/zarzadzenia-prezesa/zarzadzenia-prezesa-nfz/obwieszczenie-prezesa-nfz,7402.html" TargetMode="External"/><Relationship Id="rId30" Type="http://schemas.openxmlformats.org/officeDocument/2006/relationships/hyperlink" Target="http://dziennikmz.mz.gov.pl/DUM_MZ/2021/57/akt.pdf" TargetMode="External"/><Relationship Id="rId35" Type="http://schemas.openxmlformats.org/officeDocument/2006/relationships/hyperlink" Target="mailto:dep-pl@mz.gov.pl" TargetMode="External"/><Relationship Id="rId43" Type="http://schemas.openxmlformats.org/officeDocument/2006/relationships/hyperlink" Target="https://www.gov.pl/web/zdrowie/komunikat-w-sprawie-zwrotow-szczepionek-przeciw-covid-19?fbclid=IwAR2zFoBAt11l8V5EA4fatbqVlDD3RwhEOskzyO1kmdA2RhJ6yH0ZOfcP948" TargetMode="External"/><Relationship Id="rId48" Type="http://schemas.openxmlformats.org/officeDocument/2006/relationships/hyperlink" Target="https://legislacja.rcl.gov.pl/projekt/12349305" TargetMode="External"/><Relationship Id="rId8" Type="http://schemas.openxmlformats.org/officeDocument/2006/relationships/endnotes" Target="endnotes.xml"/><Relationship Id="rId5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7189-B65F-4DEE-95FF-216DCCDC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9436</Words>
  <Characters>56620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2021-08-16T05:34:00Z</dcterms:created>
  <dcterms:modified xsi:type="dcterms:W3CDTF">2021-08-16T05:34:00Z</dcterms:modified>
</cp:coreProperties>
</file>