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906BB9" w:rsidR="00683C34" w:rsidRPr="006318B7" w:rsidRDefault="00D6072E" w:rsidP="00D6072E">
      <w:pPr>
        <w:jc w:val="right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6318B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Załącznik </w:t>
      </w:r>
      <w:r w:rsidR="00696B9D" w:rsidRPr="006318B7">
        <w:rPr>
          <w:rFonts w:ascii="Times New Roman" w:hAnsi="Times New Roman" w:cs="Times New Roman"/>
          <w:b/>
          <w:bCs/>
          <w:noProof/>
          <w:sz w:val="22"/>
          <w:szCs w:val="22"/>
        </w:rPr>
        <w:t>2</w:t>
      </w:r>
    </w:p>
    <w:p w14:paraId="0F784D2F" w14:textId="77777777" w:rsidR="00291981" w:rsidRPr="006318B7" w:rsidRDefault="00FF46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4A115F69" w14:textId="72C1B3F9" w:rsidR="00291981" w:rsidRPr="006318B7" w:rsidRDefault="00696B9D" w:rsidP="00696B9D">
      <w:pPr>
        <w:jc w:val="center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WSKAŹNIKI I MIERNIKI PROGRAMU PILOTAŻOWEGO</w:t>
      </w:r>
      <w:r w:rsidR="003A23C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3A23C5" w:rsidRPr="006318B7">
        <w:rPr>
          <w:rFonts w:ascii="Times New Roman" w:hAnsi="Times New Roman" w:cs="Times New Roman"/>
          <w:sz w:val="22"/>
          <w:szCs w:val="22"/>
          <w:lang w:eastAsia="en-US"/>
        </w:rPr>
        <w:t>OPIEKI NAD ŚWIADCZENIOBIORCĄ W RAMACH KRAJOWEJ SIECI HEMATOLOGICZNEJ</w:t>
      </w:r>
    </w:p>
    <w:p w14:paraId="14B9D94F" w14:textId="77777777" w:rsidR="00696B9D" w:rsidRPr="006318B7" w:rsidRDefault="00696B9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002" w14:textId="1F8DAA2F" w:rsidR="00683C34" w:rsidRPr="006318B7" w:rsidRDefault="00696B9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I.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Wskaźniki</w:t>
      </w:r>
      <w:r w:rsidR="009F1020"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9643A"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jakości </w:t>
      </w:r>
      <w:r w:rsidR="000C1CAA"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procesu diagnostyczno-leczniczego </w:t>
      </w:r>
      <w:r w:rsidR="009F1020" w:rsidRPr="006318B7">
        <w:rPr>
          <w:rFonts w:ascii="Times New Roman" w:eastAsia="Arial" w:hAnsi="Times New Roman" w:cs="Times New Roman"/>
          <w:b/>
          <w:sz w:val="22"/>
          <w:szCs w:val="22"/>
        </w:rPr>
        <w:t>programu pilotażowego opieki nad świadczeniobiorcą w ramach krajowej sieci hematologicznej</w:t>
      </w:r>
      <w:r w:rsidR="0080771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461EA7CF" w14:textId="77777777" w:rsidR="00696B9D" w:rsidRPr="006318B7" w:rsidRDefault="00696B9D" w:rsidP="008F592B">
      <w:pPr>
        <w:ind w:left="-283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005" w14:textId="00171996" w:rsidR="00683C34" w:rsidRPr="006318B7" w:rsidRDefault="00696B9D" w:rsidP="00696B9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1.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Ostre białaczki szpikowe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1DAC6D58" w14:textId="204C2B5D" w:rsidR="00696B9D" w:rsidRPr="006318B7" w:rsidRDefault="006318B7" w:rsidP="00696B9D">
      <w:pPr>
        <w:numPr>
          <w:ilvl w:val="0"/>
          <w:numId w:val="18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bookmarkStart w:id="0" w:name="_Hlk140520540"/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dsetek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świadczeniobiorców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szpikowe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</w:t>
      </w:r>
      <w:r w:rsidR="009A7921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których prowadzona jest terapia </w:t>
      </w:r>
      <w:bookmarkStart w:id="1" w:name="_Hlk140521071"/>
      <w:r w:rsidR="00EE112B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25A0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wyleczenia </w:t>
      </w:r>
      <w:bookmarkEnd w:id="1"/>
      <w:r w:rsidR="00F25A0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lub </w:t>
      </w:r>
      <w:r w:rsidR="009A7921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uzyskania </w:t>
      </w:r>
      <w:r w:rsidR="00F25A0E" w:rsidRPr="006318B7">
        <w:rPr>
          <w:rFonts w:ascii="Times New Roman" w:eastAsia="Arial" w:hAnsi="Times New Roman" w:cs="Times New Roman"/>
          <w:bCs/>
          <w:sz w:val="22"/>
          <w:szCs w:val="22"/>
        </w:rPr>
        <w:t>remisji</w:t>
      </w:r>
      <w:r w:rsidR="009A7921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u których wykonano </w:t>
      </w:r>
      <w:r w:rsidR="00990EB8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3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panele badań diagnostycznych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: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immunofenotypowe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cytogenetyczne</w:t>
      </w:r>
      <w:r w:rsidR="00CA493A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molekularne 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>(l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ub zabezpieczono materiał do wykonania badań molekularnych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>)</w:t>
      </w:r>
      <w:r w:rsidR="00696B9D"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bookmarkEnd w:id="0"/>
    </w:p>
    <w:p w14:paraId="394F3D46" w14:textId="418B8A82" w:rsidR="00696B9D" w:rsidRPr="006318B7" w:rsidRDefault="00696B9D" w:rsidP="00696B9D">
      <w:pPr>
        <w:numPr>
          <w:ilvl w:val="0"/>
          <w:numId w:val="18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EE112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szpikowe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, dla których odbyła się kwalifikacja do leczenia przez zespół terapeutyczny i dla których został</w:t>
      </w:r>
      <w:r w:rsidR="002837D4">
        <w:rPr>
          <w:rFonts w:ascii="Times New Roman" w:eastAsia="Arial" w:hAnsi="Times New Roman" w:cs="Times New Roman"/>
          <w:bCs/>
          <w:sz w:val="22"/>
          <w:szCs w:val="22"/>
        </w:rPr>
        <w:t xml:space="preserve"> przygotowany</w:t>
      </w:r>
      <w:r w:rsidR="003658FC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plan leczenia</w:t>
      </w:r>
      <w:r w:rsidR="00E70049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</w:t>
      </w:r>
      <w:r w:rsidR="008C4362" w:rsidRPr="006318B7">
        <w:rPr>
          <w:rFonts w:ascii="Times New Roman" w:eastAsia="Arial" w:hAnsi="Times New Roman" w:cs="Times New Roman"/>
          <w:bCs/>
          <w:sz w:val="22"/>
          <w:szCs w:val="22"/>
        </w:rPr>
        <w:t>a</w:t>
      </w:r>
      <w:r w:rsidR="00E70049" w:rsidRPr="006318B7">
        <w:rPr>
          <w:rFonts w:ascii="Times New Roman" w:eastAsia="Arial" w:hAnsi="Times New Roman" w:cs="Times New Roman"/>
          <w:bCs/>
          <w:sz w:val="22"/>
          <w:szCs w:val="22"/>
        </w:rPr>
        <w:t>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E7488B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EA6CB1" w:rsidRPr="00EA6CB1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7 dni od d</w:t>
      </w:r>
      <w:r w:rsidR="004A301B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ostrej białaczki szpikowej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489C85EB" w14:textId="75CBD093" w:rsidR="00696B9D" w:rsidRPr="006318B7" w:rsidRDefault="00696B9D" w:rsidP="00696B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25A0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EE112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25A0E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25A0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szpikowe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, u których zaplanowane zostało leczenie i u których od d</w:t>
      </w:r>
      <w:r w:rsidR="00C91221">
        <w:rPr>
          <w:rFonts w:ascii="Times New Roman" w:eastAsia="Arial" w:hAnsi="Times New Roman" w:cs="Times New Roman"/>
          <w:bCs/>
          <w:sz w:val="22"/>
          <w:szCs w:val="22"/>
        </w:rPr>
        <w:t>ni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 rozpoznania ostrej białaczki szpikowej do d</w:t>
      </w:r>
      <w:r w:rsidR="004A301B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upłynęło 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14 dni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03C" w14:textId="15B98ACE" w:rsidR="00683C34" w:rsidRPr="006318B7" w:rsidRDefault="00696B9D" w:rsidP="00696B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dsetek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EE112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szpikowe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prowadzona jest terapia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wyleczenia i u których wykonano oznaczenie mierzalnej choroby resztkowej </w:t>
      </w:r>
      <w:r w:rsidR="0069119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(MRD)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metodą cytometrii przepływowej w standardowych punktach czasowych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37A754ED" w14:textId="07A67A14" w:rsidR="00696B9D" w:rsidRPr="006318B7" w:rsidRDefault="00696B9D" w:rsidP="00696B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ostre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szpikowe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wysokiego ryzyka leczonych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wyleczenia, których zakwalifikowano do </w:t>
      </w:r>
      <w:bookmarkStart w:id="2" w:name="_Hlk138022011"/>
      <w:r w:rsidR="00120998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przeszczepienia allogenicznych krwiotwórczych komórek macierzystych </w:t>
      </w:r>
      <w:bookmarkEnd w:id="2"/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oraz procedury poszukiwania dawcy (przy braku dawców rodzinnych) </w:t>
      </w:r>
      <w:r w:rsidR="00E7488B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czasie do 14 dni roboczych od </w:t>
      </w:r>
      <w:r w:rsidR="004A301B">
        <w:rPr>
          <w:rFonts w:ascii="Times New Roman" w:eastAsia="Arial" w:hAnsi="Times New Roman" w:cs="Times New Roman"/>
          <w:bCs/>
          <w:sz w:val="22"/>
          <w:szCs w:val="22"/>
        </w:rPr>
        <w:t xml:space="preserve">dnia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uzyskania oceny odpowiedzi na leczenie indukujące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bookmarkStart w:id="3" w:name="_Hlk140521487"/>
    </w:p>
    <w:p w14:paraId="4817518E" w14:textId="15DEAE41" w:rsidR="00696B9D" w:rsidRPr="006318B7" w:rsidRDefault="00696B9D" w:rsidP="00696B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EE112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szpikow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D7394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prowadzona jest terapia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D7394E" w:rsidRPr="006318B7">
        <w:rPr>
          <w:rFonts w:ascii="Times New Roman" w:eastAsia="Arial" w:hAnsi="Times New Roman" w:cs="Times New Roman"/>
          <w:bCs/>
          <w:sz w:val="22"/>
          <w:szCs w:val="22"/>
        </w:rPr>
        <w:t>wyleczenia 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u których doszło do zgonu w </w:t>
      </w:r>
      <w:r w:rsidR="00EA6CB1" w:rsidRPr="00EA6CB1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30 dni od </w:t>
      </w:r>
      <w:r w:rsidR="004A301B">
        <w:rPr>
          <w:rFonts w:ascii="Times New Roman" w:eastAsia="Arial" w:hAnsi="Times New Roman" w:cs="Times New Roman"/>
          <w:bCs/>
          <w:sz w:val="22"/>
          <w:szCs w:val="22"/>
        </w:rPr>
        <w:t xml:space="preserve">dnia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rozpoczęcia leczenia indukującego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bookmarkStart w:id="4" w:name="_Hlk140521574"/>
      <w:bookmarkEnd w:id="3"/>
    </w:p>
    <w:p w14:paraId="51A164B6" w14:textId="3EF49A55" w:rsidR="00696B9D" w:rsidRPr="006318B7" w:rsidRDefault="00696B9D" w:rsidP="00696B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EE112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szpikow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D7394E" w:rsidRPr="006318B7">
        <w:rPr>
          <w:rFonts w:ascii="Times New Roman" w:eastAsia="Arial" w:hAnsi="Times New Roman" w:cs="Times New Roman"/>
          <w:bCs/>
          <w:sz w:val="22"/>
          <w:szCs w:val="22"/>
        </w:rPr>
        <w:t>, u których prowadzona jest terapia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uzyskania remisji</w:t>
      </w:r>
      <w:r w:rsidR="00D7394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u których doszło do zgonu w </w:t>
      </w:r>
      <w:r w:rsidR="00EA6CB1" w:rsidRPr="00EA6CB1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30 dni od </w:t>
      </w:r>
      <w:r w:rsidR="004A301B">
        <w:rPr>
          <w:rFonts w:ascii="Times New Roman" w:eastAsia="Arial" w:hAnsi="Times New Roman" w:cs="Times New Roman"/>
          <w:bCs/>
          <w:sz w:val="22"/>
          <w:szCs w:val="22"/>
        </w:rPr>
        <w:t xml:space="preserve">dnia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rozpoczęcia leczenia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bookmarkEnd w:id="4"/>
    </w:p>
    <w:p w14:paraId="4D25EB9F" w14:textId="6AA07CBC" w:rsidR="00696B9D" w:rsidRPr="006318B7" w:rsidRDefault="00696B9D" w:rsidP="00696B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EE112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szpikow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opornością na leczenie 1. linii lub wznową po leczeniu 1. linii, dla których odbyła się kwalifikacja do leczenia przez zespół terapeutyczny i dla których został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 xml:space="preserve"> przygotowany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plan leczenia</w:t>
      </w:r>
      <w:r w:rsidR="008C4362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hematologicznego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4A301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–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 </w:t>
      </w:r>
      <w:r w:rsidR="00EA6CB1" w:rsidRPr="00EA6CB1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7 dni od d</w:t>
      </w:r>
      <w:r w:rsidR="004A301B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opornej lub nawrotowej ostrej białaczki szpikowej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059" w14:textId="4E018447" w:rsidR="00683C34" w:rsidRPr="006318B7" w:rsidRDefault="00696B9D" w:rsidP="00696B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podejrzeniem ostrej białaczki promielocytowej, u których wykonano badanie genetyczne na obecność</w:t>
      </w:r>
      <w:r w:rsidR="006448F3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genu </w:t>
      </w:r>
      <w:r w:rsidR="00FF46B0" w:rsidRPr="006318B7">
        <w:rPr>
          <w:rFonts w:ascii="Times New Roman" w:eastAsia="Arial" w:hAnsi="Times New Roman" w:cs="Times New Roman"/>
          <w:bCs/>
          <w:i/>
          <w:sz w:val="22"/>
          <w:szCs w:val="22"/>
        </w:rPr>
        <w:t>PML/RARA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czasie &lt; 4 dni roboczych</w:t>
      </w:r>
      <w:r w:rsidR="008D2E55" w:rsidRPr="006318B7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32872234" w14:textId="77777777" w:rsidR="00696B9D" w:rsidRPr="006318B7" w:rsidRDefault="00696B9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065" w14:textId="113D46DE" w:rsidR="00683C34" w:rsidRPr="006318B7" w:rsidRDefault="00696B9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2.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Ostre białaczki limfoblastyczne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40C530B9" w14:textId="1E2B86D1" w:rsidR="00696B9D" w:rsidRPr="006318B7" w:rsidRDefault="00696B9D" w:rsidP="00696B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bookmarkStart w:id="5" w:name="_Hlk140521764"/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EE112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limfoblastyczne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, u których prowadzona jest terapia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 xml:space="preserve"> w celu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wyleczenia </w:t>
      </w:r>
      <w:r w:rsidR="00990EB8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lub uzyskania remisji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i u których wykonano </w:t>
      </w:r>
      <w:r w:rsidR="00990EB8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3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panele badań diagnostycznych</w:t>
      </w:r>
      <w:r w:rsidR="008D2E55" w:rsidRPr="006318B7">
        <w:rPr>
          <w:rFonts w:ascii="Times New Roman" w:eastAsia="Arial" w:hAnsi="Times New Roman" w:cs="Times New Roman"/>
          <w:bCs/>
          <w:sz w:val="22"/>
          <w:szCs w:val="22"/>
        </w:rPr>
        <w:t>: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immunofenotypowe,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c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ytogenetyczne</w:t>
      </w:r>
      <w:r w:rsidR="002E08BF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molekularne</w:t>
      </w:r>
      <w:r w:rsidR="0077747C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>(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lub zabezpieczono materiał do wykonania badań molekularnych</w:t>
      </w:r>
      <w:r w:rsidR="002C551D" w:rsidRPr="006318B7">
        <w:rPr>
          <w:rFonts w:ascii="Times New Roman" w:eastAsia="Arial" w:hAnsi="Times New Roman" w:cs="Times New Roman"/>
          <w:bCs/>
          <w:sz w:val="22"/>
          <w:szCs w:val="22"/>
        </w:rPr>
        <w:t>)</w:t>
      </w:r>
      <w:bookmarkEnd w:id="5"/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6AD15A16" w14:textId="37103FF8" w:rsidR="00696B9D" w:rsidRPr="006318B7" w:rsidRDefault="00696B9D" w:rsidP="00696B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EE112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limfoblastyczne</w:t>
      </w:r>
      <w:r w:rsidR="00EE112B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, dla których odbyła się kwalifikacja do leczenia p</w:t>
      </w:r>
      <w:r w:rsidR="00691190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691190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terapeutyczn</w:t>
      </w:r>
      <w:r w:rsidR="00691190" w:rsidRPr="006318B7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120998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i dla których został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plan leczenia </w:t>
      </w:r>
      <w:r w:rsidR="00140FC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hematologicznego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bądź dyskwalifikacja z leczenia w </w:t>
      </w:r>
      <w:r w:rsidR="00EA6CB1" w:rsidRPr="00EA6CB1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7</w:t>
      </w:r>
      <w:r w:rsidR="0077747C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dni od </w:t>
      </w:r>
      <w:r w:rsidR="00640EA2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ostrej białaczki limfoblastycznej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6EAA6499" w14:textId="751C0535" w:rsidR="00696B9D" w:rsidRPr="006318B7" w:rsidRDefault="00696B9D" w:rsidP="00696B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dsetek</w:t>
      </w:r>
      <w:r w:rsidR="004C327A" w:rsidRPr="006318B7">
        <w:rPr>
          <w:rFonts w:ascii="Times New Roman" w:hAnsi="Times New Roman" w:cs="Times New Roman"/>
          <w:sz w:val="22"/>
          <w:szCs w:val="22"/>
        </w:rPr>
        <w:t xml:space="preserve">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zaplanowane zostało leczenie i u których od </w:t>
      </w:r>
      <w:r w:rsidR="00C91221">
        <w:rPr>
          <w:rFonts w:ascii="Times New Roman" w:eastAsia="Arial" w:hAnsi="Times New Roman" w:cs="Times New Roman"/>
          <w:bCs/>
          <w:sz w:val="22"/>
          <w:szCs w:val="22"/>
        </w:rPr>
        <w:t xml:space="preserve">dnia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rozpoznania ostrej białaczki limfoblastycznej do d</w:t>
      </w:r>
      <w:r w:rsidR="00640EA2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upłynęło 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14 dni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682EF4C8" w14:textId="61AAC418" w:rsidR="00696B9D" w:rsidRPr="006318B7" w:rsidRDefault="00696B9D" w:rsidP="00696B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136F9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limfoblastyczne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bez obecności </w:t>
      </w:r>
      <w:r w:rsidR="002E08BF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genu </w:t>
      </w:r>
      <w:r w:rsidR="00FF46B0" w:rsidRPr="006318B7">
        <w:rPr>
          <w:rFonts w:ascii="Times New Roman" w:eastAsia="Arial" w:hAnsi="Times New Roman" w:cs="Times New Roman"/>
          <w:bCs/>
          <w:i/>
          <w:sz w:val="22"/>
          <w:szCs w:val="22"/>
        </w:rPr>
        <w:t>BCR/ABL1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prowadzona jest terapia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wyleczenia lub uzyskania remisji i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lastRenderedPageBreak/>
        <w:t xml:space="preserve">u których wykonano oznaczenie mierzalnej choroby resztkowej </w:t>
      </w:r>
      <w:r w:rsidR="0069119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(MRD)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metodą cytometrii przepływowej w standardowych punktach czasowych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27DBED06" w14:textId="11CE38CD" w:rsidR="00D614B2" w:rsidRPr="006318B7" w:rsidRDefault="00696B9D" w:rsidP="00D614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136F9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limfoblastyczne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obecnością </w:t>
      </w:r>
      <w:r w:rsidR="002E08BF" w:rsidRPr="006318B7">
        <w:rPr>
          <w:rFonts w:ascii="Times New Roman" w:eastAsia="Arial" w:hAnsi="Times New Roman" w:cs="Times New Roman"/>
          <w:bCs/>
          <w:sz w:val="22"/>
          <w:szCs w:val="22"/>
        </w:rPr>
        <w:t>genu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i/>
          <w:sz w:val="22"/>
          <w:szCs w:val="22"/>
        </w:rPr>
        <w:t>BCR/ABL1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prowadzona jest terapia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wyleczenia lub uzyskania remisji i u których wykonano oznaczenie mierzalnej choroby resztkowej </w:t>
      </w:r>
      <w:r w:rsidR="0069119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(MRD)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metodą molekularną w standardowych punktach czasowych</w:t>
      </w:r>
      <w:r w:rsidR="00D614B2"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76112D09" w14:textId="28C11195" w:rsidR="00D614B2" w:rsidRPr="006318B7" w:rsidRDefault="00D614B2" w:rsidP="00D614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136F9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limfoblastyczne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wysokiego ryzyka leczonych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wyleczenia, których zakwalifikowano do </w:t>
      </w:r>
      <w:bookmarkStart w:id="6" w:name="_Hlk138022901"/>
      <w:r w:rsidR="002E08BF" w:rsidRPr="006318B7">
        <w:rPr>
          <w:rFonts w:ascii="Times New Roman" w:eastAsia="Arial" w:hAnsi="Times New Roman" w:cs="Times New Roman"/>
          <w:bCs/>
          <w:sz w:val="22"/>
          <w:szCs w:val="22"/>
        </w:rPr>
        <w:t>przeszczepienia allogenicznych krwiotwórczych komórek macierzystych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bookmarkEnd w:id="6"/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oraz procedury poszukiwania dawcy (przy braku dawców rodzinnych) </w:t>
      </w:r>
      <w:r w:rsidR="00E7488B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14 dni </w:t>
      </w:r>
      <w:r w:rsidR="0077747C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roboczych </w:t>
      </w:r>
      <w:r w:rsidR="00AD268D" w:rsidRPr="006318B7">
        <w:rPr>
          <w:rFonts w:ascii="Times New Roman" w:eastAsia="Arial" w:hAnsi="Times New Roman" w:cs="Times New Roman"/>
          <w:bCs/>
          <w:sz w:val="22"/>
          <w:szCs w:val="22"/>
        </w:rPr>
        <w:t>od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640EA2">
        <w:rPr>
          <w:rFonts w:ascii="Times New Roman" w:eastAsia="Arial" w:hAnsi="Times New Roman" w:cs="Times New Roman"/>
          <w:bCs/>
          <w:sz w:val="22"/>
          <w:szCs w:val="22"/>
        </w:rPr>
        <w:t xml:space="preserve">dnia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uzyskani</w:t>
      </w:r>
      <w:r w:rsidR="00AD268D" w:rsidRPr="006318B7">
        <w:rPr>
          <w:rFonts w:ascii="Times New Roman" w:eastAsia="Arial" w:hAnsi="Times New Roman" w:cs="Times New Roman"/>
          <w:bCs/>
          <w:sz w:val="22"/>
          <w:szCs w:val="22"/>
        </w:rPr>
        <w:t>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oceny odpowiedzi na leczenie indukujące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bookmarkStart w:id="7" w:name="_Hlk140522041"/>
    </w:p>
    <w:p w14:paraId="74672791" w14:textId="14C3D9C0" w:rsidR="00D614B2" w:rsidRPr="006318B7" w:rsidRDefault="00D614B2" w:rsidP="00D614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136F9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limfoblastyczne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leczonych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wyleczenia, u których doszło do zgonu w </w:t>
      </w:r>
      <w:r w:rsidR="00EA6CB1" w:rsidRPr="00EA6CB1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30 dni od </w:t>
      </w:r>
      <w:r w:rsidR="00640EA2">
        <w:rPr>
          <w:rFonts w:ascii="Times New Roman" w:eastAsia="Arial" w:hAnsi="Times New Roman" w:cs="Times New Roman"/>
          <w:bCs/>
          <w:sz w:val="22"/>
          <w:szCs w:val="22"/>
        </w:rPr>
        <w:t xml:space="preserve">dnia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rozpoczęcia leczenia indukującego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bookmarkStart w:id="8" w:name="_Hlk140522077"/>
      <w:bookmarkEnd w:id="7"/>
    </w:p>
    <w:p w14:paraId="26CCD341" w14:textId="0179D552" w:rsidR="00D614B2" w:rsidRPr="006318B7" w:rsidRDefault="00D614B2" w:rsidP="00D614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dsetek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świadczeniobiorców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136F9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białaczki limfoblastyczne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leczonych </w:t>
      </w:r>
      <w:r w:rsidR="00136F9E">
        <w:rPr>
          <w:rFonts w:ascii="Times New Roman" w:eastAsia="Arial" w:hAnsi="Times New Roman" w:cs="Times New Roman"/>
          <w:bCs/>
          <w:sz w:val="22"/>
          <w:szCs w:val="22"/>
        </w:rPr>
        <w:t xml:space="preserve">w celu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uzyskania remisji, u których doszło do zgonu w </w:t>
      </w:r>
      <w:r w:rsidR="00EA6CB1" w:rsidRPr="00EA6CB1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30 dni od </w:t>
      </w:r>
      <w:r w:rsidR="00640EA2">
        <w:rPr>
          <w:rFonts w:ascii="Times New Roman" w:eastAsia="Arial" w:hAnsi="Times New Roman" w:cs="Times New Roman"/>
          <w:bCs/>
          <w:sz w:val="22"/>
          <w:szCs w:val="22"/>
        </w:rPr>
        <w:t xml:space="preserve">dnia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rozpoczęcia leczenia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bookmarkEnd w:id="8"/>
    </w:p>
    <w:p w14:paraId="000000C0" w14:textId="3FA7AE99" w:rsidR="00683C34" w:rsidRPr="006318B7" w:rsidRDefault="00D614B2" w:rsidP="00D614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ostr</w:t>
      </w:r>
      <w:r w:rsidR="006A3EC8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6A3EC8" w:rsidRPr="006318B7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limfoblastyczn</w:t>
      </w:r>
      <w:r w:rsidR="006A3EC8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opornością na leczenie 1. linii lub wznową po leczeniu 1. linii, dla których odbyła się kwalifikacja do leczenia przez zespół terapeutyczny i dla których został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plan leczenia</w:t>
      </w:r>
      <w:r w:rsidR="00140FC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hematologicznego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E7488B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7 dni od d</w:t>
      </w:r>
      <w:r w:rsidR="00640EA2">
        <w:rPr>
          <w:rFonts w:ascii="Times New Roman" w:eastAsia="Arial" w:hAnsi="Times New Roman" w:cs="Times New Roman"/>
          <w:bCs/>
          <w:sz w:val="22"/>
          <w:szCs w:val="22"/>
        </w:rPr>
        <w:t xml:space="preserve">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rozpoznania opornej lub nawrotowej ostrej białaczki limfoblastycznej</w:t>
      </w:r>
      <w:r w:rsidR="008D2E55" w:rsidRPr="006318B7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5F444DB8" w14:textId="77777777" w:rsidR="00D614B2" w:rsidRPr="006318B7" w:rsidRDefault="00D614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0CB" w14:textId="5D3A52EE" w:rsidR="00683C34" w:rsidRPr="006318B7" w:rsidRDefault="00D614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3.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Szpiczak plazmocytowy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22839AA7" w14:textId="78FEBF06" w:rsidR="00D614B2" w:rsidRPr="006318B7" w:rsidRDefault="00D614B2" w:rsidP="00D614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objawowego szpiczaka plazmocytowego, u których przed rozpoczęciem leczenia 1. linii wykonano ocenę aberracji cytogenetycznych wysokiego ryzyka z zastosowaniem metody FISH lub klasycznej cytogenetyki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7CA65C28" w14:textId="5FF330A7" w:rsidR="00D614B2" w:rsidRPr="006318B7" w:rsidRDefault="00D614B2" w:rsidP="00D614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 xml:space="preserve">objawowego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szpiczaka plazmocytowego, u których przed rozpoczęciem leczenia 1. linii wykonano ocenę wskaźnika R-ISS2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3EFBE338" w14:textId="143B6C84" w:rsidR="00D614B2" w:rsidRPr="006318B7" w:rsidRDefault="00D614B2" w:rsidP="00D614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świadczeniobiorców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z rozpoznaniem objawowego szpiczaka plazmocytowego, dla których odbyła się kwalifikacja do leczenia 1. linii przez zespół terapeutyczny i dla których został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plan leczenia</w:t>
      </w:r>
      <w:r w:rsidR="00FE610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hematologicznego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E7488B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bookmarkStart w:id="9" w:name="_Hlk142894256"/>
      <w:r w:rsid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bookmarkEnd w:id="9"/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0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dni roboczych od d</w:t>
      </w:r>
      <w:r w:rsidR="00640EA2">
        <w:rPr>
          <w:rFonts w:ascii="Times New Roman" w:eastAsia="Arial" w:hAnsi="Times New Roman" w:cs="Times New Roman"/>
          <w:bCs/>
          <w:sz w:val="22"/>
          <w:szCs w:val="22"/>
        </w:rPr>
        <w:t xml:space="preserve">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rozpoznania objawowego szpiczaka plazmocytowego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6C90C076" w14:textId="52A60C06" w:rsidR="00D614B2" w:rsidRPr="006318B7" w:rsidRDefault="00D614B2" w:rsidP="00D614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objawowego szpiczaka plazmocytowego, u których zaplanowane zostało leczenie 1. linii i u których od </w:t>
      </w:r>
      <w:r w:rsidR="00C91221">
        <w:rPr>
          <w:rFonts w:ascii="Times New Roman" w:eastAsia="Arial" w:hAnsi="Times New Roman" w:cs="Times New Roman"/>
          <w:bCs/>
          <w:sz w:val="22"/>
          <w:szCs w:val="22"/>
        </w:rPr>
        <w:t xml:space="preserve">dnia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rozpoznania objawowego szpiczaka plazmocytowego do </w:t>
      </w:r>
      <w:r w:rsidR="00640EA2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upłynęło 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20 dni roboczych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7AC98A2B" w14:textId="6719C73C" w:rsidR="00D614B2" w:rsidRPr="006318B7" w:rsidRDefault="00D614B2" w:rsidP="00D614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dsetek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C327A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świadczeniobiorców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szpiczaka plazmocytowego 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70 lat, u których po leczeniu 1. linii wykonano</w:t>
      </w:r>
      <w:r w:rsidR="006A3EC8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bookmarkStart w:id="10" w:name="_Hlk138023242"/>
      <w:r w:rsidR="00120998" w:rsidRPr="006318B7">
        <w:rPr>
          <w:rFonts w:ascii="Times New Roman" w:eastAsia="Arial" w:hAnsi="Times New Roman" w:cs="Times New Roman"/>
          <w:bCs/>
          <w:sz w:val="22"/>
          <w:szCs w:val="22"/>
        </w:rPr>
        <w:t>przeszczepienie autologicznych krwiotwórczych komórek macierzystych</w:t>
      </w:r>
      <w:bookmarkEnd w:id="10"/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5BBE79CF" w14:textId="726431AE" w:rsidR="00D614B2" w:rsidRPr="006318B7" w:rsidRDefault="00D614B2" w:rsidP="00D614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szpiczaka plazmocytowego, którzy przy leczeni</w:t>
      </w:r>
      <w:r w:rsidR="006A3EC8" w:rsidRPr="006318B7">
        <w:rPr>
          <w:rFonts w:ascii="Times New Roman" w:eastAsia="Arial" w:hAnsi="Times New Roman" w:cs="Times New Roman"/>
          <w:bCs/>
          <w:sz w:val="22"/>
          <w:szCs w:val="22"/>
        </w:rPr>
        <w:t>u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1. linii rozpoczęli leczenie bisfosfonianami lub denosumabem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3C99DF79" w14:textId="48308403" w:rsidR="00D614B2" w:rsidRPr="006318B7" w:rsidRDefault="00D614B2" w:rsidP="00D614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szpiczaka plazmocytowego i jednocześnie ze wskazaniami do rozpoczęcia leczenia 2. linii, dla których odbyła się kwalifikacja do leczenia p</w:t>
      </w:r>
      <w:r w:rsidR="00323BA5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323BA5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</w:t>
      </w:r>
      <w:r w:rsidR="00323BA5" w:rsidRPr="006318B7">
        <w:rPr>
          <w:rFonts w:ascii="Times New Roman" w:eastAsia="Arial" w:hAnsi="Times New Roman" w:cs="Times New Roman"/>
          <w:bCs/>
          <w:sz w:val="22"/>
          <w:szCs w:val="22"/>
        </w:rPr>
        <w:t>ny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 xml:space="preserve"> przygotowany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plan leczenia</w:t>
      </w:r>
      <w:r w:rsidR="00FE610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hematologicznego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0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dni roboczych od d</w:t>
      </w:r>
      <w:r w:rsidR="001E3E45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wystąpienia wskazań do leczenia </w:t>
      </w:r>
      <w:r w:rsidR="0056448A" w:rsidRPr="006318B7">
        <w:rPr>
          <w:rFonts w:ascii="Times New Roman" w:eastAsia="Arial" w:hAnsi="Times New Roman" w:cs="Times New Roman"/>
          <w:bCs/>
          <w:sz w:val="22"/>
          <w:szCs w:val="22"/>
        </w:rPr>
        <w:t>2. linii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r w:rsidR="0056448A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p w14:paraId="00000103" w14:textId="285C8864" w:rsidR="00683C34" w:rsidRDefault="00D614B2" w:rsidP="00D614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szpiczaka plazmocytowego, u których zaplanowane zostało leczenie 2. linii i u których od </w:t>
      </w:r>
      <w:r w:rsidR="00C91221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pojawienia się wskazań do leczenia 2. linii do d</w:t>
      </w:r>
      <w:r w:rsidR="001E3E45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2. linii upłynęło 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20 dni roboczych</w:t>
      </w:r>
      <w:r w:rsidR="002C4193" w:rsidRPr="006318B7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5B02573D" w14:textId="77777777" w:rsidR="001218EA" w:rsidRDefault="001218E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10B" w14:textId="43F9A381" w:rsidR="00683C34" w:rsidRPr="006318B7" w:rsidRDefault="00D614B2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4.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Przewlekła białaczka limfocytowa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8E1967C" w14:textId="5126EFE0" w:rsidR="00F17555" w:rsidRPr="006318B7" w:rsidRDefault="006C4C4E" w:rsidP="006C4C4E">
      <w:pPr>
        <w:numPr>
          <w:ilvl w:val="0"/>
          <w:numId w:val="10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bookmarkStart w:id="11" w:name="_Hlk138023449"/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1755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1755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17555" w:rsidRPr="006318B7">
        <w:rPr>
          <w:rFonts w:ascii="Times New Roman" w:eastAsia="Arial" w:hAnsi="Times New Roman" w:cs="Times New Roman"/>
          <w:bCs/>
          <w:sz w:val="22"/>
          <w:szCs w:val="22"/>
        </w:rPr>
        <w:t>przewlekł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1755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1755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limfocytow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17555" w:rsidRPr="006318B7">
        <w:rPr>
          <w:rFonts w:ascii="Times New Roman" w:eastAsia="Arial" w:hAnsi="Times New Roman" w:cs="Times New Roman"/>
          <w:bCs/>
          <w:sz w:val="22"/>
          <w:szCs w:val="22"/>
        </w:rPr>
        <w:t>, u których przy rozpoznaniu oceniono stopień zaawansowania klinicznego według klasyfikacji Rai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r w:rsidR="00F1755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bookmarkEnd w:id="11"/>
    <w:p w14:paraId="0000010E" w14:textId="3278F539" w:rsidR="00683C34" w:rsidRPr="006318B7" w:rsidRDefault="006C4C4E" w:rsidP="006C4C4E">
      <w:pPr>
        <w:numPr>
          <w:ilvl w:val="0"/>
          <w:numId w:val="10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przewlekł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limfocytow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przed rozpoczęciem leczenia 1. linii oceniono wskaźnik </w:t>
      </w:r>
      <w:r w:rsidR="006A3EC8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CIRS </w:t>
      </w:r>
      <w:bookmarkStart w:id="12" w:name="_Hlk138023555"/>
      <w:r w:rsidR="006A3EC8" w:rsidRPr="006318B7">
        <w:rPr>
          <w:rFonts w:ascii="Times New Roman" w:eastAsia="Arial" w:hAnsi="Times New Roman" w:cs="Times New Roman"/>
          <w:bCs/>
          <w:sz w:val="22"/>
          <w:szCs w:val="22"/>
        </w:rPr>
        <w:t>(</w:t>
      </w:r>
      <w:r w:rsidR="00D67E20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Cumulative Ilness Rating Scale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>)</w:t>
      </w:r>
      <w:bookmarkEnd w:id="12"/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13" w14:textId="40025895" w:rsidR="00683C34" w:rsidRPr="006318B7" w:rsidRDefault="006C4C4E" w:rsidP="006C4C4E">
      <w:pPr>
        <w:numPr>
          <w:ilvl w:val="0"/>
          <w:numId w:val="10"/>
        </w:numPr>
        <w:ind w:left="567"/>
        <w:jc w:val="both"/>
        <w:rPr>
          <w:rFonts w:ascii="Times New Roman" w:eastAsia="Arial" w:hAnsi="Times New Roman" w:cs="Times New Roman"/>
          <w:bCs/>
          <w:i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lastRenderedPageBreak/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przewlekł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limfocytow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przed rozpoczęciem leczenia 1. linii wykonano ocenę stanu mutacji genów </w:t>
      </w:r>
      <w:r w:rsidR="00FF46B0" w:rsidRPr="006318B7">
        <w:rPr>
          <w:rFonts w:ascii="Times New Roman" w:eastAsia="Arial" w:hAnsi="Times New Roman" w:cs="Times New Roman"/>
          <w:bCs/>
          <w:i/>
          <w:sz w:val="22"/>
          <w:szCs w:val="22"/>
        </w:rPr>
        <w:t>IGHV</w:t>
      </w:r>
      <w:r w:rsidRPr="006318B7">
        <w:rPr>
          <w:rFonts w:ascii="Times New Roman" w:eastAsia="Arial" w:hAnsi="Times New Roman" w:cs="Times New Roman"/>
          <w:bCs/>
          <w:iCs/>
          <w:sz w:val="22"/>
          <w:szCs w:val="22"/>
        </w:rPr>
        <w:t>;</w:t>
      </w:r>
    </w:p>
    <w:p w14:paraId="0000011A" w14:textId="2083DBB4" w:rsidR="00683C34" w:rsidRPr="006318B7" w:rsidRDefault="006C4C4E" w:rsidP="006C4C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przewlekł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limfocytow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, u których przed rozpoczęciem leczenia 1. linii wykonano ocenę del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>ecji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17p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ocenę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mutacji </w:t>
      </w:r>
      <w:r w:rsidR="00FF46B0" w:rsidRPr="006318B7">
        <w:rPr>
          <w:rFonts w:ascii="Times New Roman" w:eastAsia="Arial" w:hAnsi="Times New Roman" w:cs="Times New Roman"/>
          <w:bCs/>
          <w:i/>
          <w:sz w:val="22"/>
          <w:szCs w:val="22"/>
        </w:rPr>
        <w:t>TP53</w:t>
      </w:r>
      <w:r w:rsidR="00D67E20" w:rsidRPr="006318B7">
        <w:rPr>
          <w:rFonts w:ascii="Times New Roman" w:eastAsia="Arial" w:hAnsi="Times New Roman" w:cs="Times New Roman"/>
          <w:bCs/>
          <w:i/>
          <w:sz w:val="22"/>
          <w:szCs w:val="22"/>
        </w:rPr>
        <w:t xml:space="preserve">, </w:t>
      </w:r>
      <w:r w:rsidR="00D67E20" w:rsidRPr="006318B7">
        <w:rPr>
          <w:rFonts w:ascii="Times New Roman" w:eastAsia="Arial" w:hAnsi="Times New Roman" w:cs="Times New Roman"/>
          <w:bCs/>
          <w:iCs/>
          <w:sz w:val="22"/>
          <w:szCs w:val="22"/>
        </w:rPr>
        <w:t>je</w:t>
      </w:r>
      <w:r w:rsidR="001218EA">
        <w:rPr>
          <w:rFonts w:ascii="Times New Roman" w:eastAsia="Arial" w:hAnsi="Times New Roman" w:cs="Times New Roman"/>
          <w:bCs/>
          <w:iCs/>
          <w:sz w:val="22"/>
          <w:szCs w:val="22"/>
        </w:rPr>
        <w:t>żel</w:t>
      </w:r>
      <w:r w:rsidR="00D67E20" w:rsidRPr="006318B7">
        <w:rPr>
          <w:rFonts w:ascii="Times New Roman" w:eastAsia="Arial" w:hAnsi="Times New Roman" w:cs="Times New Roman"/>
          <w:bCs/>
          <w:iCs/>
          <w:sz w:val="22"/>
          <w:szCs w:val="22"/>
        </w:rPr>
        <w:t>i delecja 17</w:t>
      </w:r>
      <w:r w:rsidR="006A3EC8" w:rsidRPr="006318B7">
        <w:rPr>
          <w:rFonts w:ascii="Times New Roman" w:eastAsia="Arial" w:hAnsi="Times New Roman" w:cs="Times New Roman"/>
          <w:bCs/>
          <w:iCs/>
          <w:sz w:val="22"/>
          <w:szCs w:val="22"/>
        </w:rPr>
        <w:t>p</w:t>
      </w:r>
      <w:r w:rsidR="00D67E20" w:rsidRPr="006318B7">
        <w:rPr>
          <w:rFonts w:ascii="Times New Roman" w:eastAsia="Arial" w:hAnsi="Times New Roman" w:cs="Times New Roman"/>
          <w:bCs/>
          <w:iCs/>
          <w:sz w:val="22"/>
          <w:szCs w:val="22"/>
        </w:rPr>
        <w:t xml:space="preserve"> jest nieobecna</w:t>
      </w:r>
      <w:r w:rsidRPr="006318B7">
        <w:rPr>
          <w:rFonts w:ascii="Times New Roman" w:eastAsia="Arial" w:hAnsi="Times New Roman" w:cs="Times New Roman"/>
          <w:bCs/>
          <w:iCs/>
          <w:sz w:val="22"/>
          <w:szCs w:val="22"/>
        </w:rPr>
        <w:t>;</w:t>
      </w:r>
    </w:p>
    <w:p w14:paraId="73F6ED8B" w14:textId="688114A0" w:rsidR="00D67E20" w:rsidRPr="006318B7" w:rsidRDefault="006C4C4E" w:rsidP="006C4C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color w:val="000000" w:themeColor="text1"/>
          <w:sz w:val="22"/>
          <w:szCs w:val="22"/>
        </w:rPr>
      </w:pPr>
      <w:bookmarkStart w:id="13" w:name="_Hlk138023691"/>
      <w:r w:rsidRPr="006318B7">
        <w:rPr>
          <w:rFonts w:ascii="Times New Roman" w:eastAsia="Arial" w:hAnsi="Times New Roman" w:cs="Times New Roman"/>
          <w:bCs/>
          <w:color w:val="000000" w:themeColor="text1"/>
          <w:sz w:val="22"/>
          <w:szCs w:val="22"/>
        </w:rPr>
        <w:t>o</w:t>
      </w:r>
      <w:r w:rsidR="001B7980" w:rsidRPr="006318B7">
        <w:rPr>
          <w:rFonts w:ascii="Times New Roman" w:eastAsia="Arial" w:hAnsi="Times New Roman" w:cs="Times New Roman"/>
          <w:bCs/>
          <w:color w:val="000000" w:themeColor="text1"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color w:val="000000" w:themeColor="text1"/>
          <w:sz w:val="22"/>
          <w:szCs w:val="22"/>
        </w:rPr>
        <w:t>świadczeniobiorców</w:t>
      </w:r>
      <w:r w:rsidR="001B7980" w:rsidRPr="006318B7">
        <w:rPr>
          <w:rFonts w:ascii="Times New Roman" w:eastAsia="Arial" w:hAnsi="Times New Roman" w:cs="Times New Roman"/>
          <w:bCs/>
          <w:color w:val="000000" w:themeColor="text1"/>
          <w:sz w:val="22"/>
          <w:szCs w:val="22"/>
        </w:rPr>
        <w:t xml:space="preserve"> z rozpoznaniem przewlekłej białaczki limfocytowej, u których przed rozpoczęciem leczenia 1. linii wykonano podstawowy panel badań wirusologicznych </w:t>
      </w:r>
      <w:r w:rsidR="001B7980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(HBsAg, anty-HBc, anty-HCV, anty-HIV, a w przypadku dodatnich wyników przeciwciał </w:t>
      </w:r>
      <w:r w:rsidR="00C90877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–</w:t>
      </w:r>
      <w:r w:rsidR="001B7980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badanie HBV- DNA, HCV-RNA, HIV-RNA)</w:t>
      </w:r>
      <w:r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;</w:t>
      </w:r>
    </w:p>
    <w:bookmarkEnd w:id="13"/>
    <w:p w14:paraId="00000121" w14:textId="5755D83F" w:rsidR="00683C34" w:rsidRPr="006318B7" w:rsidRDefault="006C4C4E" w:rsidP="006C4C4E">
      <w:pPr>
        <w:numPr>
          <w:ilvl w:val="0"/>
          <w:numId w:val="10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przewlekłej białaczki limfocytowej i jednocześnie ze wskazaniami do rozpoczęcia leczenia 1. 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inii, dla których odbyła się kwalifikacja do leczenia p</w:t>
      </w:r>
      <w:r w:rsidR="00323BA5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323BA5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</w:t>
      </w:r>
      <w:r w:rsidR="003930D2" w:rsidRPr="006318B7">
        <w:rPr>
          <w:rFonts w:ascii="Times New Roman" w:eastAsia="Arial" w:hAnsi="Times New Roman" w:cs="Times New Roman"/>
          <w:bCs/>
          <w:sz w:val="22"/>
          <w:szCs w:val="22"/>
        </w:rPr>
        <w:t>czny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 xml:space="preserve"> przygotowany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plan leczenia</w:t>
      </w:r>
      <w:r w:rsidR="005543F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hematologicznego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0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dni roboczych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wystąpienia wskazań do leczenie 1.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inii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17024351" w14:textId="0D50BCD3" w:rsidR="00D67E20" w:rsidRPr="006318B7" w:rsidRDefault="006C4C4E" w:rsidP="006C4C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przewlekł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limfocytow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zaplanowane zostało leczenie 1. 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inii i u których od </w:t>
      </w:r>
      <w:r w:rsidR="00666CEE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pojawienia się wskazań do leczenia do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upłynęło 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20 dni roboczych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30" w14:textId="1C3F2BAA" w:rsidR="00683C34" w:rsidRPr="006318B7" w:rsidRDefault="006C4C4E" w:rsidP="006C4C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bookmarkStart w:id="14" w:name="_Hlk140522443"/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6E1378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przewlekł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limfocytow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w przypadku 1. 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progresji lub oporności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choroby i obecności wskazań do leczenia, wykonano ocenę del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ecji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17p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 ocenę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mutacji </w:t>
      </w:r>
      <w:r w:rsidR="00FF46B0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TP53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>, je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>żeli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7445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wcześniej 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>delecja 17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p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7445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lub mutacje </w:t>
      </w:r>
      <w:r w:rsidR="0087445E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TP53</w:t>
      </w:r>
      <w:r w:rsidR="0087445E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były 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>nieobecn</w:t>
      </w:r>
      <w:r w:rsidR="0087445E" w:rsidRPr="006318B7">
        <w:rPr>
          <w:rFonts w:ascii="Times New Roman" w:eastAsia="Arial" w:hAnsi="Times New Roman" w:cs="Times New Roman"/>
          <w:bCs/>
          <w:sz w:val="22"/>
          <w:szCs w:val="22"/>
        </w:rPr>
        <w:t>e</w:t>
      </w:r>
      <w:bookmarkEnd w:id="14"/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36" w14:textId="54DDC9D4" w:rsidR="00683C34" w:rsidRPr="006318B7" w:rsidRDefault="006C4C4E" w:rsidP="006C4C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przewlekłej białaczki limfocytowej i jednocześnie ze wskazaniami do rozpoczęcia leczenia 2. linii, dla których odbyła się kwalifikacja do leczenia p</w:t>
      </w:r>
      <w:r w:rsidR="003930D2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3930D2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terapeutyczn</w:t>
      </w:r>
      <w:r w:rsidR="003930D2" w:rsidRPr="006318B7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 xml:space="preserve"> przygotowany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plan leczenia </w:t>
      </w:r>
      <w:r w:rsidR="005543F5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hematologicznego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0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dni roboczych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wystąpienia wskazań do leczenie 2. 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inii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3E" w14:textId="4C35231E" w:rsidR="00683C34" w:rsidRPr="006318B7" w:rsidRDefault="006C4C4E" w:rsidP="006C4C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przewlekł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białaczk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limfocytow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ej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u których zaplanowane zostało leczenie 2. linii i u których od </w:t>
      </w:r>
      <w:r w:rsidR="00666CEE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pojawienia się wskazań do leczenia 2. linii do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2. linii upłynęło 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20 dni roboczyc</w:t>
      </w:r>
      <w:r w:rsidR="002C4193" w:rsidRPr="006318B7">
        <w:rPr>
          <w:rFonts w:ascii="Times New Roman" w:eastAsia="Arial" w:hAnsi="Times New Roman" w:cs="Times New Roman"/>
          <w:bCs/>
          <w:sz w:val="22"/>
          <w:szCs w:val="22"/>
        </w:rPr>
        <w:t>h.</w:t>
      </w:r>
    </w:p>
    <w:p w14:paraId="50902E81" w14:textId="77777777" w:rsidR="00D614B2" w:rsidRPr="006318B7" w:rsidRDefault="00D614B2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146" w14:textId="42F38B91" w:rsidR="00683C34" w:rsidRPr="006318B7" w:rsidRDefault="00D614B2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5.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Chłoniak grudkowy</w:t>
      </w:r>
      <w:r w:rsidR="00B94A6A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0000148" w14:textId="3101783D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dsetek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świadczeniobiorców </w:t>
      </w:r>
      <w:r w:rsidR="0098752D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98752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grudkowego, u których przy rozpoznaniu wykonano badanie TK lub PET-TK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4E" w14:textId="3C8EA0D9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2837D4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2837D4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grudkowego, u których przy rozpoznaniu oceniono wskaźnik FLIPI</w:t>
      </w:r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bookmarkStart w:id="15" w:name="_Hlk138024169"/>
      <w:r w:rsidR="00D67E20" w:rsidRPr="006318B7">
        <w:rPr>
          <w:rFonts w:ascii="Times New Roman" w:eastAsia="Arial" w:hAnsi="Times New Roman" w:cs="Times New Roman"/>
          <w:bCs/>
          <w:sz w:val="22"/>
          <w:szCs w:val="22"/>
        </w:rPr>
        <w:t>(</w:t>
      </w:r>
      <w:r w:rsidR="00D67E20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 xml:space="preserve">Follicular Lymphoma </w:t>
      </w:r>
      <w:r w:rsidR="009D4C96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International Prognostic Index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>)</w:t>
      </w:r>
      <w:bookmarkEnd w:id="15"/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59" w14:textId="46BD711C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2837D4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2837D4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grudkowego, u których rozpoznanie postawiono na podstawie badanie histopatologicznego wraz z badaniami immunohistochemicznymi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5B" w14:textId="039BD580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chłoniaka grudkowego i jednocześnie ze wskazaniami do rozpoczęcia leczenia 1. linii, dla których odbyła się kwalifikacja do leczenia p</w:t>
      </w:r>
      <w:r w:rsidR="003930D2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3930D2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terapeutyczn</w:t>
      </w:r>
      <w:r w:rsidR="003930D2" w:rsidRPr="006318B7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 </w:t>
      </w:r>
      <w:r w:rsidR="002837D4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plan leczenia</w:t>
      </w:r>
      <w:r w:rsidR="009E5D9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hematologicznego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</w:t>
      </w:r>
      <w:r w:rsidR="007C05EA" w:rsidRPr="006318B7">
        <w:rPr>
          <w:rFonts w:ascii="Times New Roman" w:eastAsia="Arial" w:hAnsi="Times New Roman" w:cs="Times New Roman"/>
          <w:bCs/>
          <w:sz w:val="22"/>
          <w:szCs w:val="22"/>
        </w:rPr>
        <w:t>0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dni roboczych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wystąpienia wskazań do leczenia 1. 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inii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p w14:paraId="00000168" w14:textId="7319A478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2837D4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2837D4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grudkowego, u których zaplanowane zostało leczenie 1. linii i u których od </w:t>
      </w:r>
      <w:r w:rsidR="00666CEE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pojawienia się wskazań do leczenia do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upłynęło </w:t>
      </w:r>
      <w:r w:rsidR="00674044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≤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20 dni roboczych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52B724EA" w14:textId="129194DA" w:rsidR="00B91F11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color w:val="000000" w:themeColor="text1"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chłoniaka grudkowego, u których przed rozpoczęciem leczenia 1. linii wykonano </w:t>
      </w:r>
      <w:r w:rsidR="00B91F11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podstawowy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panel badań wirusologicznych</w:t>
      </w:r>
      <w:r w:rsidR="00B91F11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B91F11" w:rsidRPr="006318B7">
        <w:rPr>
          <w:rFonts w:ascii="Times New Roman" w:eastAsia="Arial" w:hAnsi="Times New Roman" w:cs="Times New Roman"/>
          <w:sz w:val="22"/>
          <w:szCs w:val="22"/>
        </w:rPr>
        <w:t xml:space="preserve">(HBsAg, anty-HBc, </w:t>
      </w:r>
      <w:r w:rsidR="00B91F11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anty-HCV, anty-HIV, a w przypadku dodatnich wyników przeciwciał </w:t>
      </w:r>
      <w:r w:rsidR="00C90877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–</w:t>
      </w:r>
      <w:r w:rsidR="00B91F11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badanie HBV- DNA, HCV-RNA, HIV-RNA)</w:t>
      </w:r>
      <w:r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;</w:t>
      </w:r>
    </w:p>
    <w:p w14:paraId="00000170" w14:textId="097A87C7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chłoniaka grudkowego, u których przed rozpoczęciem leczenia 1. linii wykonano badanie TK lub PET-TK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76" w14:textId="43B22605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2837D4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2837D4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grudkowego, u których w przypadku 1. 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, prog</w:t>
      </w:r>
      <w:r w:rsidR="00B321DA" w:rsidRPr="006318B7">
        <w:rPr>
          <w:rFonts w:ascii="Times New Roman" w:eastAsia="Arial" w:hAnsi="Times New Roman" w:cs="Times New Roman"/>
          <w:bCs/>
          <w:sz w:val="22"/>
          <w:szCs w:val="22"/>
        </w:rPr>
        <w:t>r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esji lub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oporności choroby i obecności wskazań do leczenia 2. linii, wykonano badanie TK lub PET-</w:t>
      </w:r>
      <w:r w:rsidR="00851FDC" w:rsidRPr="006318B7">
        <w:rPr>
          <w:rFonts w:ascii="Times New Roman" w:eastAsia="Arial" w:hAnsi="Times New Roman" w:cs="Times New Roman"/>
          <w:bCs/>
          <w:sz w:val="22"/>
          <w:szCs w:val="22"/>
        </w:rPr>
        <w:t>TK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7D" w14:textId="027132C3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lastRenderedPageBreak/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1. </w:t>
      </w:r>
      <w:r w:rsidR="00B321DA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, progresji lub</w:t>
      </w:r>
      <w:r w:rsidR="00B321DA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oporności chłoniaka grudkowego i jednocześnie ze wskazaniami do rozpoczęcia leczenia 2. linii, dla których odbyła się kwalifikacja do leczenia p</w:t>
      </w:r>
      <w:r w:rsidR="009454AD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9454AD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terapeutyczn</w:t>
      </w:r>
      <w:r w:rsidR="009454AD" w:rsidRPr="006318B7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 </w:t>
      </w:r>
      <w:r w:rsidR="00445063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plan leczenia </w:t>
      </w:r>
      <w:r w:rsidR="009E5D9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hematologicznego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1</w:t>
      </w:r>
      <w:r w:rsidR="00674044" w:rsidRPr="006318B7">
        <w:rPr>
          <w:rFonts w:ascii="Times New Roman" w:eastAsia="Arial" w:hAnsi="Times New Roman" w:cs="Times New Roman"/>
          <w:bCs/>
          <w:sz w:val="22"/>
          <w:szCs w:val="22"/>
        </w:rPr>
        <w:t>0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dni roboczych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wystąpienia wskazań do leczenia 2. 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inii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85" w14:textId="4BFF00DF" w:rsidR="00683C34" w:rsidRPr="006318B7" w:rsidRDefault="005026B6" w:rsidP="005026B6">
      <w:pPr>
        <w:numPr>
          <w:ilvl w:val="0"/>
          <w:numId w:val="1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445063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grudkowego u których zaplanowane zostało leczenie 2. linii i u których od </w:t>
      </w:r>
      <w:r w:rsidR="00666CEE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pojawienia się wskazań do leczenia do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2. linii upłynęło </w:t>
      </w:r>
      <w:r w:rsidR="00674044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20 dni roboczych</w:t>
      </w:r>
      <w:r w:rsidR="002C4193" w:rsidRPr="006318B7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7CA22B6E" w14:textId="77777777" w:rsidR="00F729C7" w:rsidRPr="006318B7" w:rsidRDefault="00F729C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18D" w14:textId="0A01ECE8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6.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Chłoniak rozlany z dużych komórek B (DLBCL)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000018F" w14:textId="270941D4" w:rsidR="00683C34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rozlanego z dużych komórek B, u których przy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 xml:space="preserve">rozpoznaniu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wykonano badanie PET-TK lub TK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9A" w14:textId="292F2467" w:rsidR="00683C34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rozlanego z dużych komórek B, u których przy rozpoznaniu oceniono wskaźnik IPI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(</w:t>
      </w:r>
      <w:r w:rsidR="00B321DA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I</w:t>
      </w:r>
      <w:r w:rsidR="009D4C96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nternational Prognostic Index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>)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9C" w14:textId="10945AB6" w:rsidR="00683C34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rozlanego z dużych komórek B, u których rozpoznanie postawiono na podstawie badani</w:t>
      </w:r>
      <w:r w:rsidR="00B321DA" w:rsidRPr="006318B7">
        <w:rPr>
          <w:rFonts w:ascii="Times New Roman" w:eastAsia="Arial" w:hAnsi="Times New Roman" w:cs="Times New Roman"/>
          <w:bCs/>
          <w:sz w:val="22"/>
          <w:szCs w:val="22"/>
        </w:rPr>
        <w:t>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histopatologicznego wraz z badaniami immunohistochemicznymi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A3" w14:textId="62AF71B4" w:rsidR="00683C34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chłoniaka rozlanego z dużych komórek B</w:t>
      </w:r>
      <w:r w:rsidR="00B321DA" w:rsidRPr="006318B7">
        <w:rPr>
          <w:rFonts w:ascii="Times New Roman" w:eastAsia="Arial" w:hAnsi="Times New Roman" w:cs="Times New Roman"/>
          <w:bCs/>
          <w:sz w:val="22"/>
          <w:szCs w:val="22"/>
        </w:rPr>
        <w:t>,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dla których odbyła się kwalifikacja do leczenia p</w:t>
      </w:r>
      <w:r w:rsidR="00ED4A27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ED4A27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terapeutyczn</w:t>
      </w:r>
      <w:r w:rsidR="00ED4A27" w:rsidRPr="006318B7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plan leczenia</w:t>
      </w:r>
      <w:r w:rsidR="00A27E3C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hematologicznego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7 dni roboczych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chłoniaka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A0727E" w:rsidRPr="006318B7">
        <w:rPr>
          <w:rFonts w:ascii="Times New Roman" w:eastAsia="Arial" w:hAnsi="Times New Roman" w:cs="Times New Roman"/>
          <w:bCs/>
          <w:sz w:val="22"/>
          <w:szCs w:val="22"/>
        </w:rPr>
        <w:t>rozlanego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A9" w14:textId="48E07EA2" w:rsidR="00683C34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rozlanego z dużych komórek, u których od </w:t>
      </w:r>
      <w:r w:rsidR="00666CEE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do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upłynęło </w:t>
      </w:r>
      <w:r w:rsidR="00674044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10 dni roboczych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6169B1D" w14:textId="0A32F282" w:rsidR="00B321DA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chłoniaka rozlanego z dużych komórek B, u których przed rozpoczęciem leczenia 1. linii wykonano </w:t>
      </w:r>
      <w:r w:rsidR="00B91F11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podstawowy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panel badań wirusologicznych</w:t>
      </w:r>
      <w:r w:rsidR="00B91F11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B91F11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(HBsAg, anty-HBc, anty-HCV, anty-HIV, a w przypadku dodatnich wyników przeciwciał </w:t>
      </w:r>
      <w:r w:rsidR="00C90877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–</w:t>
      </w:r>
      <w:r w:rsidR="00B91F11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badanie HBV- DNA, HCV-RNA, HIV-RNA)</w:t>
      </w:r>
      <w:r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;</w:t>
      </w:r>
    </w:p>
    <w:p w14:paraId="000001B8" w14:textId="6B9DEF0A" w:rsidR="00683C34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chłoniaka rozlanego z dużych komórek B, u których przed rozpoczęciem leczenia 1. linii wykonano ECHO serca z oceną frakcji wyrzutowej lewej komory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  <w:highlight w:val="cyan"/>
        </w:rPr>
        <w:t xml:space="preserve"> </w:t>
      </w:r>
    </w:p>
    <w:p w14:paraId="000001BE" w14:textId="72DD6508" w:rsidR="00683C34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chłoniaka rozlanego z dużych komórek B, u których przy ocenie po zakończeniu leczenia 1. linii wykonano badanie PET-TK lub TK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5CF5FAFE" w14:textId="3279E04A" w:rsidR="00E7488B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rozlanego z dużych komórek B, u których w przypadku 1. </w:t>
      </w:r>
      <w:r w:rsidR="00B321DA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oporności choroby wykonano badanie PET-TK lub TK przed włączeniem leczenia 2. </w:t>
      </w:r>
      <w:r w:rsidR="002C4193" w:rsidRPr="006318B7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inii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1F0261CE" w14:textId="3E09D8AD" w:rsidR="002C4193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1. 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oporności chłoniaka rozlanego z dużych komórek B, dla których odbyła się kwalifikacja do leczenia 2. linii p</w:t>
      </w:r>
      <w:r w:rsidR="00ED4A27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ED4A27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terapeutyczn</w:t>
      </w:r>
      <w:r w:rsidR="00ED4A27" w:rsidRPr="006318B7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plan leczenia </w:t>
      </w:r>
      <w:r w:rsidR="00A27E3C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hematologicznego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7 dni roboczych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1. 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 oporności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2A57876A" w14:textId="70C41072" w:rsidR="002C4193" w:rsidRPr="006318B7" w:rsidRDefault="00E7488B" w:rsidP="00E7488B">
      <w:pPr>
        <w:numPr>
          <w:ilvl w:val="0"/>
          <w:numId w:val="9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rozlanego z dużych komórek, u których od </w:t>
      </w:r>
      <w:r w:rsidR="00666CEE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1. </w:t>
      </w:r>
      <w:r w:rsidR="00B321DA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1B798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oporności do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2. linii upłynęło </w:t>
      </w:r>
      <w:r w:rsidR="00674044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10 dni roboczych</w:t>
      </w:r>
      <w:r w:rsidR="002C4193" w:rsidRPr="006318B7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51058A77" w14:textId="77777777" w:rsidR="002C4193" w:rsidRPr="006318B7" w:rsidRDefault="002C4193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1DC" w14:textId="271B0305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7.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Chłoniak Hodgkina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00001DF" w14:textId="4013E5BD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Hodgkina, u których przy rozpoznaniu wykonano badanie PET-TK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E4" w14:textId="56615EB2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Hodgkina, u których przy rozpoznaniu oceniono grupę ryzyka wg klasyfikacji GHSG </w:t>
      </w:r>
      <w:bookmarkStart w:id="16" w:name="_Hlk138025051"/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>(</w:t>
      </w:r>
      <w:r w:rsidR="009D4C96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German Hodgkin Study Group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)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lub EORTC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(</w:t>
      </w:r>
      <w:r w:rsidR="009D4C96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European Organization for Research and Treatment of Cancer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>)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/LYSA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(</w:t>
      </w:r>
      <w:r w:rsidR="009D4C96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Lymphoma Study Association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>)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bookmarkEnd w:id="16"/>
    <w:p w14:paraId="000001EC" w14:textId="707AC71A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zaawansowanego chłoniaka Hodgkina, u których przy rozpoznaniu oceniono wskaźnik IPS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bookmarkStart w:id="17" w:name="_Hlk138025087"/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>(</w:t>
      </w:r>
      <w:r w:rsidR="009D4C96" w:rsidRPr="006318B7">
        <w:rPr>
          <w:rFonts w:ascii="Times New Roman" w:eastAsia="Arial" w:hAnsi="Times New Roman" w:cs="Times New Roman"/>
          <w:bCs/>
          <w:i/>
          <w:iCs/>
          <w:sz w:val="22"/>
          <w:szCs w:val="22"/>
        </w:rPr>
        <w:t>International Prognostic Score</w:t>
      </w:r>
      <w:r w:rsidR="009D4C96" w:rsidRPr="006318B7">
        <w:rPr>
          <w:rFonts w:ascii="Times New Roman" w:eastAsia="Arial" w:hAnsi="Times New Roman" w:cs="Times New Roman"/>
          <w:bCs/>
          <w:sz w:val="22"/>
          <w:szCs w:val="22"/>
        </w:rPr>
        <w:t>) dla chłoniaka Hodgkina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bookmarkEnd w:id="17"/>
    <w:p w14:paraId="000001F3" w14:textId="313514A0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lastRenderedPageBreak/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D6FD7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8D6FD7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Hodgkina, u których rozpoznanie postawiono na podstawie badanie histopatologicznego wraz z badaniami immunohistochemicznymi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1FF" w14:textId="0D40705E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chłoniaka Hodgkina dla których odbyła się kwalifikacja do leczenia p</w:t>
      </w:r>
      <w:r w:rsidR="00AA11F2" w:rsidRPr="006318B7">
        <w:rPr>
          <w:rFonts w:ascii="Times New Roman" w:eastAsia="Arial" w:hAnsi="Times New Roman" w:cs="Times New Roman"/>
          <w:bCs/>
          <w:sz w:val="22"/>
          <w:szCs w:val="22"/>
        </w:rPr>
        <w:t>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AA11F2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terapeutyczn</w:t>
      </w:r>
      <w:r w:rsidR="00AA11F2" w:rsidRPr="006318B7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 </w:t>
      </w:r>
      <w:r w:rsidR="004E21DB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plan leczenia</w:t>
      </w:r>
      <w:r w:rsidR="00A27E3C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hematologicznego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, 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7 dni roboczych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chłoniaka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200" w14:textId="0180608E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E21D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4E21D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Hodgkina, u których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do </w:t>
      </w:r>
      <w:r w:rsidR="00666CEE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upłynęło </w:t>
      </w:r>
      <w:r w:rsidR="00674044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≤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10 dni roboczych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75AB31CB" w14:textId="0AB1FAE6" w:rsidR="00B91F11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color w:val="000000" w:themeColor="text1"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chłoniaka Hodgkina, u których przed rozpoczęciem leczenia 1. linii wykonano </w:t>
      </w:r>
      <w:r w:rsidR="00B91F11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podstawowy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panel badań wirusologicznych</w:t>
      </w:r>
      <w:r w:rsidR="008006F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8006FD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B91F11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(HBsAg, anty-HBc, anty-HCV, anty-HIV</w:t>
      </w:r>
      <w:r w:rsidR="0039608A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, </w:t>
      </w:r>
      <w:r w:rsidR="00B91F11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a w przypadku dodatnich wyników przeciwciał </w:t>
      </w:r>
      <w:r w:rsidR="00C90877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–</w:t>
      </w:r>
      <w:r w:rsidR="00B91F11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badanie HBV- DNA, HCV-RNA, HIV-RNA)</w:t>
      </w:r>
      <w:r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;</w:t>
      </w:r>
      <w:r w:rsidR="00B91F11" w:rsidRPr="006318B7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</w:p>
    <w:p w14:paraId="00000216" w14:textId="7F657C6B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E21D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4E21D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zaawansowanego chłoniaka Hodgkina, u których wykonano badanie PET-TK po 2. cyklu leczenia 1. </w:t>
      </w:r>
      <w:r w:rsidR="00851FDC" w:rsidRPr="006318B7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inii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21C" w14:textId="7362FF0B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E21D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4E21D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Hodgkina, u których po zakończeniu leczenia 1. linii wykonano badanie PET-TK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223" w14:textId="37DF31AC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E21D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4E21D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chłoniaka Hodgkina, u których w przypadku 1. </w:t>
      </w:r>
      <w:r w:rsidR="00D87D33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D87D33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oporności choroby wykonano badanie PET-TK przed włączeniem leczenia 2. </w:t>
      </w:r>
      <w:r w:rsidR="00851FDC" w:rsidRPr="006318B7">
        <w:rPr>
          <w:rFonts w:ascii="Times New Roman" w:eastAsia="Arial" w:hAnsi="Times New Roman" w:cs="Times New Roman"/>
          <w:bCs/>
          <w:sz w:val="22"/>
          <w:szCs w:val="22"/>
        </w:rPr>
        <w:t>l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inii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0000022A" w14:textId="50D0A535" w:rsidR="00683C34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897B50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 rozpoznaniem 1. </w:t>
      </w:r>
      <w:r w:rsidR="00D87D33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D87D33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oporności chłoniaka Hodgkina, dla których odbyła się kwalifikacja do leczenia 2. linii </w:t>
      </w:r>
      <w:r w:rsidR="00AA11F2" w:rsidRPr="006318B7">
        <w:rPr>
          <w:rFonts w:ascii="Times New Roman" w:eastAsia="Arial" w:hAnsi="Times New Roman" w:cs="Times New Roman"/>
          <w:bCs/>
          <w:sz w:val="22"/>
          <w:szCs w:val="22"/>
        </w:rPr>
        <w:t>przez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zesp</w:t>
      </w:r>
      <w:r w:rsidR="00AA11F2" w:rsidRPr="006318B7">
        <w:rPr>
          <w:rFonts w:ascii="Times New Roman" w:eastAsia="Arial" w:hAnsi="Times New Roman" w:cs="Times New Roman"/>
          <w:bCs/>
          <w:sz w:val="22"/>
          <w:szCs w:val="22"/>
        </w:rPr>
        <w:t>ół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terapeutyczn</w:t>
      </w:r>
      <w:r w:rsidR="00AA11F2" w:rsidRPr="006318B7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i dla których został </w:t>
      </w:r>
      <w:r w:rsidR="004E21DB">
        <w:rPr>
          <w:rFonts w:ascii="Times New Roman" w:eastAsia="Arial" w:hAnsi="Times New Roman" w:cs="Times New Roman"/>
          <w:bCs/>
          <w:sz w:val="22"/>
          <w:szCs w:val="22"/>
        </w:rPr>
        <w:t xml:space="preserve">przygotowany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plan leczenia </w:t>
      </w:r>
      <w:r w:rsidR="00A27E3C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hematologicznego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bądź dyskwalifikacja z leczenia </w:t>
      </w:r>
      <w:r w:rsidR="00C90877" w:rsidRPr="006318B7">
        <w:rPr>
          <w:rFonts w:ascii="Times New Roman" w:eastAsia="Arial" w:hAnsi="Times New Roman" w:cs="Times New Roman"/>
          <w:bCs/>
          <w:sz w:val="22"/>
          <w:szCs w:val="22"/>
        </w:rPr>
        <w:t>–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w </w:t>
      </w:r>
      <w:r w:rsidR="00A0727E" w:rsidRPr="00A0727E">
        <w:rPr>
          <w:rFonts w:ascii="Times New Roman" w:eastAsia="Arial" w:hAnsi="Times New Roman" w:cs="Times New Roman"/>
          <w:bCs/>
          <w:sz w:val="22"/>
          <w:szCs w:val="22"/>
        </w:rPr>
        <w:t>terminie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7 dni roboczych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1. </w:t>
      </w:r>
      <w:r w:rsidR="00D87D33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D87D33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</w:t>
      </w:r>
      <w:r w:rsidR="00B321DA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oporności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32D2A6DE" w14:textId="2427A4A3" w:rsidR="00AA11F2" w:rsidRPr="006318B7" w:rsidRDefault="00E7488B" w:rsidP="00E7488B">
      <w:pPr>
        <w:numPr>
          <w:ilvl w:val="0"/>
          <w:numId w:val="3"/>
        </w:numPr>
        <w:ind w:left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318B7">
        <w:rPr>
          <w:rFonts w:ascii="Times New Roman" w:eastAsia="Arial" w:hAnsi="Times New Roman" w:cs="Times New Roman"/>
          <w:bCs/>
          <w:sz w:val="22"/>
          <w:szCs w:val="22"/>
        </w:rPr>
        <w:t>o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dsetek </w:t>
      </w:r>
      <w:r w:rsidR="00724193" w:rsidRPr="006318B7">
        <w:rPr>
          <w:rFonts w:ascii="Times New Roman" w:eastAsia="Arial" w:hAnsi="Times New Roman" w:cs="Times New Roman"/>
          <w:bCs/>
          <w:sz w:val="22"/>
          <w:szCs w:val="22"/>
        </w:rPr>
        <w:t>świadczeniobiorców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E21DB">
        <w:rPr>
          <w:rFonts w:ascii="Times New Roman" w:eastAsia="Arial" w:hAnsi="Times New Roman" w:cs="Times New Roman"/>
          <w:bCs/>
          <w:sz w:val="22"/>
          <w:szCs w:val="22"/>
        </w:rPr>
        <w:t>z rozpoznaniem</w:t>
      </w:r>
      <w:r w:rsidR="004E21DB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chłoniaka Hodgkina, u których od d</w:t>
      </w:r>
      <w:r w:rsidR="001218EA">
        <w:rPr>
          <w:rFonts w:ascii="Times New Roman" w:eastAsia="Arial" w:hAnsi="Times New Roman" w:cs="Times New Roman"/>
          <w:bCs/>
          <w:sz w:val="22"/>
          <w:szCs w:val="22"/>
        </w:rPr>
        <w:t>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rozpoznania 1. </w:t>
      </w:r>
      <w:r w:rsidR="00D87D33" w:rsidRPr="006318B7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awrotu</w:t>
      </w:r>
      <w:r w:rsidR="00D87D33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lub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oporności do </w:t>
      </w:r>
      <w:r w:rsidR="00666CEE">
        <w:rPr>
          <w:rFonts w:ascii="Times New Roman" w:eastAsia="Arial" w:hAnsi="Times New Roman" w:cs="Times New Roman"/>
          <w:bCs/>
          <w:sz w:val="22"/>
          <w:szCs w:val="22"/>
        </w:rPr>
        <w:t>dnia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 xml:space="preserve"> rozpoczęcia leczenia 2. linii upłynęło </w:t>
      </w:r>
      <w:r w:rsidR="00674044" w:rsidRPr="006318B7">
        <w:rPr>
          <w:rFonts w:ascii="Times New Roman" w:eastAsia="Arial" w:hAnsi="Times New Roman" w:cs="Times New Roman"/>
          <w:bCs/>
          <w:sz w:val="22"/>
          <w:szCs w:val="22"/>
        </w:rPr>
        <w:t>≤</w:t>
      </w:r>
      <w:r w:rsidR="00807717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FF46B0" w:rsidRPr="006318B7">
        <w:rPr>
          <w:rFonts w:ascii="Times New Roman" w:eastAsia="Arial" w:hAnsi="Times New Roman" w:cs="Times New Roman"/>
          <w:bCs/>
          <w:sz w:val="22"/>
          <w:szCs w:val="22"/>
        </w:rPr>
        <w:t>10 dni roboczych</w:t>
      </w:r>
      <w:r w:rsidRPr="006318B7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2E3CE6E7" w14:textId="77777777" w:rsidR="005C60C3" w:rsidRPr="006318B7" w:rsidRDefault="005C60C3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18" w:name="_Hlk138025631"/>
    </w:p>
    <w:p w14:paraId="0000023E" w14:textId="3C99D938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II.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Wskaźniki skuteczności leczenia</w:t>
      </w:r>
      <w:r w:rsidR="0091491B" w:rsidRPr="006318B7">
        <w:rPr>
          <w:rFonts w:ascii="Times New Roman" w:hAnsi="Times New Roman" w:cs="Times New Roman"/>
          <w:sz w:val="22"/>
          <w:szCs w:val="22"/>
        </w:rPr>
        <w:t xml:space="preserve"> </w:t>
      </w:r>
      <w:r w:rsidR="0091491B" w:rsidRPr="006318B7">
        <w:rPr>
          <w:rFonts w:ascii="Times New Roman" w:eastAsia="Arial" w:hAnsi="Times New Roman" w:cs="Times New Roman"/>
          <w:b/>
          <w:sz w:val="22"/>
          <w:szCs w:val="22"/>
        </w:rPr>
        <w:t>programu pilotażowego opieki nad świadczeniobiorcą w ramach krajowej sieci hematologicznej</w:t>
      </w:r>
      <w:r w:rsidR="00C90877" w:rsidRPr="006318B7">
        <w:rPr>
          <w:rFonts w:ascii="Times New Roman" w:eastAsia="Arial" w:hAnsi="Times New Roman" w:cs="Times New Roman"/>
          <w:b/>
          <w:sz w:val="22"/>
          <w:szCs w:val="22"/>
        </w:rPr>
        <w:t>*</w:t>
      </w:r>
      <w:r w:rsidR="00C90877" w:rsidRPr="006318B7">
        <w:rPr>
          <w:rFonts w:ascii="Times New Roman" w:eastAsia="Arial" w:hAnsi="Times New Roman" w:cs="Times New Roman"/>
          <w:b/>
          <w:sz w:val="22"/>
          <w:szCs w:val="22"/>
          <w:vertAlign w:val="superscript"/>
        </w:rPr>
        <w:t>)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000023F" w14:textId="77777777" w:rsidR="00683C34" w:rsidRPr="006318B7" w:rsidRDefault="00683C3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240" w14:textId="184FCB65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1.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Ostre białaczki szpikowe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0000241" w14:textId="7D85D20D" w:rsidR="00683C34" w:rsidRPr="006318B7" w:rsidRDefault="00FF46B0">
      <w:pPr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</w:t>
      </w:r>
      <w:r w:rsidR="00A0727E">
        <w:rPr>
          <w:rFonts w:ascii="Times New Roman" w:eastAsia="Arial" w:hAnsi="Times New Roman" w:cs="Times New Roman"/>
          <w:sz w:val="22"/>
          <w:szCs w:val="22"/>
        </w:rPr>
        <w:t xml:space="preserve"> lub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CR</w:t>
      </w:r>
      <w:r w:rsidR="00B121D4" w:rsidRPr="006318B7">
        <w:rPr>
          <w:rFonts w:ascii="Times New Roman" w:eastAsia="Arial" w:hAnsi="Times New Roman" w:cs="Times New Roman"/>
          <w:sz w:val="22"/>
          <w:szCs w:val="22"/>
        </w:rPr>
        <w:t>i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po leczeniu indukującym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42" w14:textId="575CF113" w:rsidR="00683C34" w:rsidRPr="006318B7" w:rsidRDefault="00FF46B0">
      <w:pPr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RFS (data uzyskania CR</w:t>
      </w:r>
      <w:r w:rsidR="00A0727E">
        <w:rPr>
          <w:rFonts w:ascii="Times New Roman" w:eastAsia="Arial" w:hAnsi="Times New Roman" w:cs="Times New Roman"/>
          <w:sz w:val="22"/>
          <w:szCs w:val="22"/>
        </w:rPr>
        <w:t xml:space="preserve"> lub </w:t>
      </w:r>
      <w:r w:rsidRPr="006318B7">
        <w:rPr>
          <w:rFonts w:ascii="Times New Roman" w:eastAsia="Arial" w:hAnsi="Times New Roman" w:cs="Times New Roman"/>
          <w:sz w:val="22"/>
          <w:szCs w:val="22"/>
        </w:rPr>
        <w:t>CRi, data nawrotu)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43" w14:textId="4124DA9D" w:rsidR="00683C34" w:rsidRPr="006318B7" w:rsidRDefault="00FF46B0">
      <w:pPr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 xml:space="preserve">OS (data rozpoznania, data ostatniej obserwacji dla </w:t>
      </w:r>
      <w:r w:rsidR="00724193" w:rsidRPr="006318B7">
        <w:rPr>
          <w:rFonts w:ascii="Times New Roman" w:eastAsia="Arial" w:hAnsi="Times New Roman" w:cs="Times New Roman"/>
          <w:sz w:val="22"/>
          <w:szCs w:val="22"/>
        </w:rPr>
        <w:t>świadczeniobiorców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żyjących lub data zgonu)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245" w14:textId="441F7AF1" w:rsidR="00683C34" w:rsidRPr="006318B7" w:rsidRDefault="00FF46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9" w:name="_Hlk140523032"/>
      <w:r w:rsidRPr="006318B7">
        <w:rPr>
          <w:rFonts w:ascii="Times New Roman" w:eastAsia="Arial" w:hAnsi="Times New Roman" w:cs="Times New Roman"/>
          <w:sz w:val="22"/>
          <w:szCs w:val="22"/>
        </w:rPr>
        <w:t xml:space="preserve">Wskaźniki będą liczone oddzielnie dla </w:t>
      </w:r>
      <w:r w:rsidR="00724193" w:rsidRPr="006318B7">
        <w:rPr>
          <w:rFonts w:ascii="Times New Roman" w:eastAsia="Arial" w:hAnsi="Times New Roman" w:cs="Times New Roman"/>
          <w:sz w:val="22"/>
          <w:szCs w:val="22"/>
        </w:rPr>
        <w:t>świadczeniobiorców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, u których </w:t>
      </w:r>
      <w:r w:rsidR="002176EC" w:rsidRPr="006318B7">
        <w:rPr>
          <w:rFonts w:ascii="Times New Roman" w:eastAsia="Arial" w:hAnsi="Times New Roman" w:cs="Times New Roman"/>
          <w:sz w:val="22"/>
          <w:szCs w:val="22"/>
        </w:rPr>
        <w:t xml:space="preserve">jest 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prowadzona terapia z </w:t>
      </w:r>
      <w:r w:rsidR="009452EB">
        <w:rPr>
          <w:rFonts w:ascii="Times New Roman" w:eastAsia="Arial" w:hAnsi="Times New Roman" w:cs="Times New Roman"/>
          <w:sz w:val="22"/>
          <w:szCs w:val="22"/>
        </w:rPr>
        <w:t xml:space="preserve">w celu </w:t>
      </w:r>
      <w:r w:rsidRPr="006318B7">
        <w:rPr>
          <w:rFonts w:ascii="Times New Roman" w:eastAsia="Arial" w:hAnsi="Times New Roman" w:cs="Times New Roman"/>
          <w:sz w:val="22"/>
          <w:szCs w:val="22"/>
        </w:rPr>
        <w:t>wyleczenia</w:t>
      </w:r>
      <w:r w:rsidR="00DC123E" w:rsidRPr="006318B7">
        <w:rPr>
          <w:rFonts w:ascii="Times New Roman" w:eastAsia="Arial" w:hAnsi="Times New Roman" w:cs="Times New Roman"/>
          <w:sz w:val="22"/>
          <w:szCs w:val="22"/>
        </w:rPr>
        <w:t xml:space="preserve"> i </w:t>
      </w:r>
      <w:r w:rsidRPr="006318B7">
        <w:rPr>
          <w:rFonts w:ascii="Times New Roman" w:eastAsia="Arial" w:hAnsi="Times New Roman" w:cs="Times New Roman"/>
          <w:sz w:val="22"/>
          <w:szCs w:val="22"/>
        </w:rPr>
        <w:t>dla</w:t>
      </w:r>
      <w:r w:rsidR="0013463C" w:rsidRPr="006318B7">
        <w:rPr>
          <w:rFonts w:ascii="Times New Roman" w:hAnsi="Times New Roman" w:cs="Times New Roman"/>
          <w:sz w:val="22"/>
          <w:szCs w:val="22"/>
        </w:rPr>
        <w:t xml:space="preserve"> 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>świadczeniobiorców</w:t>
      </w:r>
      <w:r w:rsidR="00DC123E" w:rsidRPr="006318B7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u których </w:t>
      </w:r>
      <w:r w:rsidR="002176EC" w:rsidRPr="006318B7">
        <w:rPr>
          <w:rFonts w:ascii="Times New Roman" w:eastAsia="Arial" w:hAnsi="Times New Roman" w:cs="Times New Roman"/>
          <w:sz w:val="22"/>
          <w:szCs w:val="22"/>
        </w:rPr>
        <w:t xml:space="preserve">jest </w:t>
      </w:r>
      <w:r w:rsidRPr="006318B7">
        <w:rPr>
          <w:rFonts w:ascii="Times New Roman" w:eastAsia="Arial" w:hAnsi="Times New Roman" w:cs="Times New Roman"/>
          <w:sz w:val="22"/>
          <w:szCs w:val="22"/>
        </w:rPr>
        <w:t>prowadzon</w:t>
      </w:r>
      <w:r w:rsidR="00DC123E" w:rsidRPr="006318B7">
        <w:rPr>
          <w:rFonts w:ascii="Times New Roman" w:eastAsia="Arial" w:hAnsi="Times New Roman" w:cs="Times New Roman"/>
          <w:sz w:val="22"/>
          <w:szCs w:val="22"/>
        </w:rPr>
        <w:t>e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leczenie </w:t>
      </w:r>
      <w:r w:rsidR="009452EB">
        <w:rPr>
          <w:rFonts w:ascii="Times New Roman" w:eastAsia="Arial" w:hAnsi="Times New Roman" w:cs="Times New Roman"/>
          <w:sz w:val="22"/>
          <w:szCs w:val="22"/>
        </w:rPr>
        <w:t xml:space="preserve">w celu </w:t>
      </w:r>
      <w:r w:rsidR="00DC123E" w:rsidRPr="006318B7">
        <w:rPr>
          <w:rFonts w:ascii="Times New Roman" w:eastAsia="Arial" w:hAnsi="Times New Roman" w:cs="Times New Roman"/>
          <w:sz w:val="22"/>
          <w:szCs w:val="22"/>
        </w:rPr>
        <w:t xml:space="preserve">uzyskania remisji. </w:t>
      </w:r>
    </w:p>
    <w:bookmarkEnd w:id="19"/>
    <w:p w14:paraId="55F67C5F" w14:textId="77777777" w:rsidR="00B321DA" w:rsidRPr="006318B7" w:rsidRDefault="00B321D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248" w14:textId="483AA4FA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2.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Ostre białaczki limfoblastyczne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0000249" w14:textId="5BE4F032" w:rsidR="00683C34" w:rsidRPr="006318B7" w:rsidRDefault="00FF46B0" w:rsidP="00E7488B">
      <w:pPr>
        <w:numPr>
          <w:ilvl w:val="0"/>
          <w:numId w:val="20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</w:t>
      </w:r>
      <w:r w:rsidR="00A0727E">
        <w:rPr>
          <w:rFonts w:ascii="Times New Roman" w:eastAsia="Arial" w:hAnsi="Times New Roman" w:cs="Times New Roman"/>
          <w:sz w:val="22"/>
          <w:szCs w:val="22"/>
        </w:rPr>
        <w:t xml:space="preserve"> lub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CRi po leczeniu indukującym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4A" w14:textId="5212B191" w:rsidR="00683C34" w:rsidRPr="006318B7" w:rsidRDefault="00FF46B0" w:rsidP="00E7488B">
      <w:pPr>
        <w:numPr>
          <w:ilvl w:val="0"/>
          <w:numId w:val="20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RFS (data uzyskania CR, data nawrotu)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4B" w14:textId="20B14027" w:rsidR="00683C34" w:rsidRPr="006318B7" w:rsidRDefault="00FF46B0" w:rsidP="00E7488B">
      <w:pPr>
        <w:numPr>
          <w:ilvl w:val="0"/>
          <w:numId w:val="20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OS (data rozpoznania, data ostatniej obserwacji dla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 xml:space="preserve"> świadczeniobiorców </w:t>
      </w:r>
      <w:r w:rsidRPr="006318B7">
        <w:rPr>
          <w:rFonts w:ascii="Times New Roman" w:eastAsia="Arial" w:hAnsi="Times New Roman" w:cs="Times New Roman"/>
          <w:sz w:val="22"/>
          <w:szCs w:val="22"/>
        </w:rPr>
        <w:t>żyjących lub data zgonu)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24D" w14:textId="36590CFB" w:rsidR="00683C34" w:rsidRPr="006318B7" w:rsidRDefault="00FF46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20" w:name="_Hlk140523097"/>
      <w:r w:rsidRPr="006318B7">
        <w:rPr>
          <w:rFonts w:ascii="Times New Roman" w:eastAsia="Arial" w:hAnsi="Times New Roman" w:cs="Times New Roman"/>
          <w:sz w:val="22"/>
          <w:szCs w:val="22"/>
        </w:rPr>
        <w:t xml:space="preserve">Wskaźniki będą liczone oddzielnie dla 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>świadczeniobiorców</w:t>
      </w:r>
      <w:r w:rsidR="00DC123E" w:rsidRPr="006318B7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u których </w:t>
      </w:r>
      <w:r w:rsidR="002176EC" w:rsidRPr="006318B7">
        <w:rPr>
          <w:rFonts w:ascii="Times New Roman" w:eastAsia="Arial" w:hAnsi="Times New Roman" w:cs="Times New Roman"/>
          <w:sz w:val="22"/>
          <w:szCs w:val="22"/>
        </w:rPr>
        <w:t xml:space="preserve">jest 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prowadzona terapia z </w:t>
      </w:r>
      <w:r w:rsidR="009452EB">
        <w:rPr>
          <w:rFonts w:ascii="Times New Roman" w:eastAsia="Arial" w:hAnsi="Times New Roman" w:cs="Times New Roman"/>
          <w:sz w:val="22"/>
          <w:szCs w:val="22"/>
        </w:rPr>
        <w:t xml:space="preserve">w celu 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wyleczenia </w:t>
      </w:r>
      <w:r w:rsidR="00DC123E" w:rsidRPr="006318B7">
        <w:rPr>
          <w:rFonts w:ascii="Times New Roman" w:eastAsia="Arial" w:hAnsi="Times New Roman" w:cs="Times New Roman"/>
          <w:sz w:val="22"/>
          <w:szCs w:val="22"/>
        </w:rPr>
        <w:t xml:space="preserve">i </w:t>
      </w:r>
      <w:r w:rsidRPr="006318B7">
        <w:rPr>
          <w:rFonts w:ascii="Times New Roman" w:eastAsia="Arial" w:hAnsi="Times New Roman" w:cs="Times New Roman"/>
          <w:sz w:val="22"/>
          <w:szCs w:val="22"/>
        </w:rPr>
        <w:t>dla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 xml:space="preserve"> świadczeniobiorców</w:t>
      </w:r>
      <w:r w:rsidR="00DC123E" w:rsidRPr="006318B7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u których </w:t>
      </w:r>
      <w:r w:rsidR="002176EC" w:rsidRPr="006318B7">
        <w:rPr>
          <w:rFonts w:ascii="Times New Roman" w:eastAsia="Arial" w:hAnsi="Times New Roman" w:cs="Times New Roman"/>
          <w:sz w:val="22"/>
          <w:szCs w:val="22"/>
        </w:rPr>
        <w:t xml:space="preserve">jest 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prowadzone leczenie </w:t>
      </w:r>
      <w:r w:rsidR="009452EB">
        <w:rPr>
          <w:rFonts w:ascii="Times New Roman" w:eastAsia="Arial" w:hAnsi="Times New Roman" w:cs="Times New Roman"/>
          <w:sz w:val="22"/>
          <w:szCs w:val="22"/>
        </w:rPr>
        <w:t xml:space="preserve">w celu 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uzyskania </w:t>
      </w:r>
      <w:r w:rsidR="00DC123E" w:rsidRPr="006318B7">
        <w:rPr>
          <w:rFonts w:ascii="Times New Roman" w:eastAsia="Arial" w:hAnsi="Times New Roman" w:cs="Times New Roman"/>
          <w:sz w:val="22"/>
          <w:szCs w:val="22"/>
        </w:rPr>
        <w:t>remisji.</w:t>
      </w:r>
    </w:p>
    <w:bookmarkEnd w:id="20"/>
    <w:p w14:paraId="0000024F" w14:textId="77777777" w:rsidR="00683C34" w:rsidRPr="006318B7" w:rsidRDefault="00683C3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250" w14:textId="639DE6A9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3.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Szpiczak plazmocytowy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0000251" w14:textId="081C0228" w:rsidR="00683C34" w:rsidRPr="006318B7" w:rsidRDefault="00FF46B0" w:rsidP="00E7488B">
      <w:pPr>
        <w:numPr>
          <w:ilvl w:val="0"/>
          <w:numId w:val="2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CR, VGPR i PR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318B7">
        <w:rPr>
          <w:rFonts w:ascii="Times New Roman" w:eastAsia="Arial" w:hAnsi="Times New Roman" w:cs="Times New Roman"/>
          <w:sz w:val="22"/>
          <w:szCs w:val="22"/>
        </w:rPr>
        <w:t>po leczeniu 1.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52" w14:textId="04398962" w:rsidR="00683C34" w:rsidRPr="006318B7" w:rsidRDefault="00FF46B0" w:rsidP="00E7488B">
      <w:pPr>
        <w:numPr>
          <w:ilvl w:val="0"/>
          <w:numId w:val="2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PFS1 (data uzyskania 1. CR/VGPR/PR, data 1. nawrotu lub progresji)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53" w14:textId="43255E98" w:rsidR="00683C34" w:rsidRPr="006318B7" w:rsidRDefault="00FF46B0" w:rsidP="00E7488B">
      <w:pPr>
        <w:numPr>
          <w:ilvl w:val="0"/>
          <w:numId w:val="2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CR, VGPR i PR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318B7">
        <w:rPr>
          <w:rFonts w:ascii="Times New Roman" w:eastAsia="Arial" w:hAnsi="Times New Roman" w:cs="Times New Roman"/>
          <w:sz w:val="22"/>
          <w:szCs w:val="22"/>
        </w:rPr>
        <w:t>po leczeniu 2.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54" w14:textId="48E8718F" w:rsidR="00683C34" w:rsidRPr="006318B7" w:rsidRDefault="00FF46B0" w:rsidP="00E7488B">
      <w:pPr>
        <w:numPr>
          <w:ilvl w:val="0"/>
          <w:numId w:val="2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PFS2 (data uzyskania 2. CR/VGPR/PR, data 2. nawrotu lub progresji)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55" w14:textId="1153CDB5" w:rsidR="00683C34" w:rsidRPr="006318B7" w:rsidRDefault="00FF46B0" w:rsidP="00E7488B">
      <w:pPr>
        <w:numPr>
          <w:ilvl w:val="0"/>
          <w:numId w:val="21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 xml:space="preserve">OS (data rozpoznania, data ostatniej obserwacji dla 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 xml:space="preserve">świadczeniobiorców </w:t>
      </w:r>
      <w:r w:rsidRPr="006318B7">
        <w:rPr>
          <w:rFonts w:ascii="Times New Roman" w:eastAsia="Arial" w:hAnsi="Times New Roman" w:cs="Times New Roman"/>
          <w:sz w:val="22"/>
          <w:szCs w:val="22"/>
        </w:rPr>
        <w:t>żyjących lub data zgonu)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257" w14:textId="18D09B2A" w:rsidR="00683C34" w:rsidRPr="006318B7" w:rsidRDefault="00FF46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Wskaźniki będą liczone oddzielnie dla 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>świadczeniobiorców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≤ 70 i &gt; 70 lat</w:t>
      </w:r>
    </w:p>
    <w:p w14:paraId="2BD8197F" w14:textId="77777777" w:rsidR="00B321DA" w:rsidRPr="006318B7" w:rsidRDefault="00B321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259" w14:textId="296A3419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4.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Przewlekła białaczka limfocytowa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0000025A" w14:textId="0BFE9BBF" w:rsidR="00683C34" w:rsidRPr="006318B7" w:rsidRDefault="00FF46B0" w:rsidP="00E7488B">
      <w:pPr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CR, PR, SD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318B7">
        <w:rPr>
          <w:rFonts w:ascii="Times New Roman" w:eastAsia="Arial" w:hAnsi="Times New Roman" w:cs="Times New Roman"/>
          <w:sz w:val="22"/>
          <w:szCs w:val="22"/>
        </w:rPr>
        <w:t>po leczeniu 1.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5B" w14:textId="3C906725" w:rsidR="00683C34" w:rsidRPr="006318B7" w:rsidRDefault="00FF46B0" w:rsidP="00E7488B">
      <w:pPr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PFS1 (data uzyskania 1. CR/PR/SD, data 1. nawrotu lub progresji)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5C" w14:textId="5081FBDD" w:rsidR="00683C34" w:rsidRPr="006318B7" w:rsidRDefault="00FF46B0" w:rsidP="00E7488B">
      <w:pPr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CR, PR, SD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318B7">
        <w:rPr>
          <w:rFonts w:ascii="Times New Roman" w:eastAsia="Arial" w:hAnsi="Times New Roman" w:cs="Times New Roman"/>
          <w:sz w:val="22"/>
          <w:szCs w:val="22"/>
        </w:rPr>
        <w:t>po leczeniu 2.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5D" w14:textId="17E0C4B6" w:rsidR="00683C34" w:rsidRPr="006318B7" w:rsidRDefault="00FF46B0" w:rsidP="00E7488B">
      <w:pPr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PFS2 (data uzyskania 2. CR/PR/SD, data 2. nawrotu lub progresji)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5E" w14:textId="57074808" w:rsidR="00683C34" w:rsidRPr="006318B7" w:rsidRDefault="00FF46B0" w:rsidP="00E7488B">
      <w:pPr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 xml:space="preserve">OS (data rozpoznania, data ostatniej obserwacji dla 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 xml:space="preserve">świadczeniobiorców </w:t>
      </w:r>
      <w:r w:rsidRPr="006318B7">
        <w:rPr>
          <w:rFonts w:ascii="Times New Roman" w:eastAsia="Arial" w:hAnsi="Times New Roman" w:cs="Times New Roman"/>
          <w:sz w:val="22"/>
          <w:szCs w:val="22"/>
        </w:rPr>
        <w:t>żyjących lub data zgonu)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.</w:t>
      </w:r>
    </w:p>
    <w:p w14:paraId="27B097D4" w14:textId="77777777" w:rsidR="00B121D4" w:rsidRPr="006318B7" w:rsidRDefault="00B121D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263" w14:textId="5525E25F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5.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Chłoniak grudkowy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00000264" w14:textId="219EDD46" w:rsidR="00683C34" w:rsidRPr="006318B7" w:rsidRDefault="00FF46B0" w:rsidP="00E7488B">
      <w:pPr>
        <w:numPr>
          <w:ilvl w:val="0"/>
          <w:numId w:val="23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CR, PR, SD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318B7">
        <w:rPr>
          <w:rFonts w:ascii="Times New Roman" w:eastAsia="Arial" w:hAnsi="Times New Roman" w:cs="Times New Roman"/>
          <w:sz w:val="22"/>
          <w:szCs w:val="22"/>
        </w:rPr>
        <w:t>po leczeniu 1.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65" w14:textId="44A1B0F2" w:rsidR="00683C34" w:rsidRPr="006318B7" w:rsidRDefault="00FF46B0" w:rsidP="00E7488B">
      <w:pPr>
        <w:numPr>
          <w:ilvl w:val="0"/>
          <w:numId w:val="23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PFS1 (data uzyskania 1. CR/PR/SD, data 1. nawrotu lub progresji)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66" w14:textId="78BFA6FF" w:rsidR="00683C34" w:rsidRPr="006318B7" w:rsidRDefault="00FF46B0" w:rsidP="00E7488B">
      <w:pPr>
        <w:numPr>
          <w:ilvl w:val="0"/>
          <w:numId w:val="23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CR, PR, SD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318B7">
        <w:rPr>
          <w:rFonts w:ascii="Times New Roman" w:eastAsia="Arial" w:hAnsi="Times New Roman" w:cs="Times New Roman"/>
          <w:sz w:val="22"/>
          <w:szCs w:val="22"/>
        </w:rPr>
        <w:t>po leczeniu 2.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67" w14:textId="3EB61E77" w:rsidR="00683C34" w:rsidRPr="006318B7" w:rsidRDefault="00FF46B0" w:rsidP="00E7488B">
      <w:pPr>
        <w:numPr>
          <w:ilvl w:val="0"/>
          <w:numId w:val="23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PFS2 (data uzyskania 2. CR/PR/SD, data 2. nawrotu lub progresji)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68" w14:textId="0BEDF525" w:rsidR="00683C34" w:rsidRPr="006318B7" w:rsidRDefault="00FF46B0" w:rsidP="00E7488B">
      <w:pPr>
        <w:numPr>
          <w:ilvl w:val="0"/>
          <w:numId w:val="23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 xml:space="preserve">OS (data rozpoznania, data ostatniej obserwacji dla 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 xml:space="preserve">świadczeniobiorców </w:t>
      </w:r>
      <w:r w:rsidRPr="006318B7">
        <w:rPr>
          <w:rFonts w:ascii="Times New Roman" w:eastAsia="Arial" w:hAnsi="Times New Roman" w:cs="Times New Roman"/>
          <w:sz w:val="22"/>
          <w:szCs w:val="22"/>
        </w:rPr>
        <w:t>żyjących lub data zgonu)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26C" w14:textId="77777777" w:rsidR="00683C34" w:rsidRPr="006318B7" w:rsidRDefault="00683C3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26D" w14:textId="14307DC9" w:rsidR="00683C34" w:rsidRPr="006318B7" w:rsidRDefault="00B94A6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6.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Chłoniak rozlany z dużych komórek B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0000026E" w14:textId="3D8AF593" w:rsidR="00683C34" w:rsidRPr="006318B7" w:rsidRDefault="00FF46B0" w:rsidP="00E7488B">
      <w:pPr>
        <w:numPr>
          <w:ilvl w:val="0"/>
          <w:numId w:val="24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</w:t>
      </w:r>
      <w:r w:rsidR="00B121D4" w:rsidRPr="006318B7">
        <w:rPr>
          <w:rFonts w:ascii="Times New Roman" w:eastAsia="Arial" w:hAnsi="Times New Roman" w:cs="Times New Roman"/>
          <w:sz w:val="22"/>
          <w:szCs w:val="22"/>
        </w:rPr>
        <w:t>m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/ CR po leczeniu 1.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6F" w14:textId="611A2728" w:rsidR="00683C34" w:rsidRPr="006318B7" w:rsidRDefault="00EB3C5E" w:rsidP="00E7488B">
      <w:pPr>
        <w:numPr>
          <w:ilvl w:val="0"/>
          <w:numId w:val="24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RFS1 (data uzyskania 1. CR</w:t>
      </w:r>
      <w:r w:rsidR="00B121D4" w:rsidRPr="006318B7">
        <w:rPr>
          <w:rFonts w:ascii="Times New Roman" w:eastAsia="Arial" w:hAnsi="Times New Roman" w:cs="Times New Roman"/>
          <w:sz w:val="22"/>
          <w:szCs w:val="22"/>
        </w:rPr>
        <w:t>m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/ CR, data 1. nawrotu)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70" w14:textId="63A7760D" w:rsidR="00683C34" w:rsidRPr="006318B7" w:rsidRDefault="00FF46B0" w:rsidP="00E7488B">
      <w:pPr>
        <w:numPr>
          <w:ilvl w:val="0"/>
          <w:numId w:val="24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</w:t>
      </w:r>
      <w:r w:rsidR="00B121D4" w:rsidRPr="006318B7">
        <w:rPr>
          <w:rFonts w:ascii="Times New Roman" w:eastAsia="Arial" w:hAnsi="Times New Roman" w:cs="Times New Roman"/>
          <w:sz w:val="22"/>
          <w:szCs w:val="22"/>
        </w:rPr>
        <w:t>m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/ CR po leczeniu 2.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71" w14:textId="4945CD34" w:rsidR="00683C34" w:rsidRPr="006318B7" w:rsidRDefault="007A4737" w:rsidP="00E7488B">
      <w:pPr>
        <w:numPr>
          <w:ilvl w:val="0"/>
          <w:numId w:val="24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RFS2 (data uzyskania 2. CR</w:t>
      </w:r>
      <w:r w:rsidR="00B121D4" w:rsidRPr="006318B7">
        <w:rPr>
          <w:rFonts w:ascii="Times New Roman" w:eastAsia="Arial" w:hAnsi="Times New Roman" w:cs="Times New Roman"/>
          <w:sz w:val="22"/>
          <w:szCs w:val="22"/>
        </w:rPr>
        <w:t>m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/ CR, data 2. nawrotu)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72" w14:textId="42E24696" w:rsidR="00683C34" w:rsidRPr="006318B7" w:rsidRDefault="00FF46B0" w:rsidP="00E7488B">
      <w:pPr>
        <w:numPr>
          <w:ilvl w:val="0"/>
          <w:numId w:val="24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 xml:space="preserve">OS (data rozpoznania, data ostatniej obserwacji dla 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 xml:space="preserve">świadczeniobiorców </w:t>
      </w:r>
      <w:r w:rsidRPr="006318B7">
        <w:rPr>
          <w:rFonts w:ascii="Times New Roman" w:eastAsia="Arial" w:hAnsi="Times New Roman" w:cs="Times New Roman"/>
          <w:sz w:val="22"/>
          <w:szCs w:val="22"/>
        </w:rPr>
        <w:t>żyjących lub data zgonu)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275" w14:textId="77777777" w:rsidR="00683C34" w:rsidRPr="006318B7" w:rsidRDefault="00683C3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0000278" w14:textId="0352D5B1" w:rsidR="00683C34" w:rsidRPr="006318B7" w:rsidRDefault="00B94A6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7. </w:t>
      </w:r>
      <w:r w:rsidR="00FF46B0" w:rsidRPr="006318B7">
        <w:rPr>
          <w:rFonts w:ascii="Times New Roman" w:eastAsia="Arial" w:hAnsi="Times New Roman" w:cs="Times New Roman"/>
          <w:b/>
          <w:sz w:val="22"/>
          <w:szCs w:val="22"/>
        </w:rPr>
        <w:t>Chłoniak Hodgkina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36F2339E" w14:textId="59D82289" w:rsidR="00F729C7" w:rsidRPr="006318B7" w:rsidRDefault="00FF46B0" w:rsidP="00E7488B">
      <w:pPr>
        <w:numPr>
          <w:ilvl w:val="0"/>
          <w:numId w:val="25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</w:t>
      </w:r>
      <w:r w:rsidR="007A4737" w:rsidRPr="006318B7">
        <w:rPr>
          <w:rFonts w:ascii="Times New Roman" w:eastAsia="Arial" w:hAnsi="Times New Roman" w:cs="Times New Roman"/>
          <w:sz w:val="22"/>
          <w:szCs w:val="22"/>
        </w:rPr>
        <w:t>m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/ CR po leczeniu 1.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7B" w14:textId="05DC8479" w:rsidR="00683C34" w:rsidRPr="006318B7" w:rsidRDefault="00EB3C5E" w:rsidP="00E7488B">
      <w:pPr>
        <w:numPr>
          <w:ilvl w:val="0"/>
          <w:numId w:val="25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RFS1 (data uzyskania 1. CR</w:t>
      </w:r>
      <w:r w:rsidR="007A4737" w:rsidRPr="006318B7">
        <w:rPr>
          <w:rFonts w:ascii="Times New Roman" w:eastAsia="Arial" w:hAnsi="Times New Roman" w:cs="Times New Roman"/>
          <w:sz w:val="22"/>
          <w:szCs w:val="22"/>
        </w:rPr>
        <w:t>m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/ CR, data 1. nawrotu)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7C" w14:textId="6842B5A1" w:rsidR="00683C34" w:rsidRPr="006318B7" w:rsidRDefault="00FF46B0" w:rsidP="00E7488B">
      <w:pPr>
        <w:numPr>
          <w:ilvl w:val="0"/>
          <w:numId w:val="25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odsetek CR</w:t>
      </w:r>
      <w:r w:rsidR="007A4737" w:rsidRPr="006318B7">
        <w:rPr>
          <w:rFonts w:ascii="Times New Roman" w:eastAsia="Arial" w:hAnsi="Times New Roman" w:cs="Times New Roman"/>
          <w:sz w:val="22"/>
          <w:szCs w:val="22"/>
        </w:rPr>
        <w:t>m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/ CR po leczeniu 2. linii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  <w:r w:rsidR="00807717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27D" w14:textId="6B7CE470" w:rsidR="00683C34" w:rsidRPr="006318B7" w:rsidRDefault="00EB3C5E" w:rsidP="00E7488B">
      <w:pPr>
        <w:numPr>
          <w:ilvl w:val="0"/>
          <w:numId w:val="25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>RFS2 data uzyskania 2. CR</w:t>
      </w:r>
      <w:r w:rsidR="007A4737" w:rsidRPr="006318B7">
        <w:rPr>
          <w:rFonts w:ascii="Times New Roman" w:eastAsia="Arial" w:hAnsi="Times New Roman" w:cs="Times New Roman"/>
          <w:sz w:val="22"/>
          <w:szCs w:val="22"/>
        </w:rPr>
        <w:t>m</w:t>
      </w:r>
      <w:r w:rsidRPr="006318B7">
        <w:rPr>
          <w:rFonts w:ascii="Times New Roman" w:eastAsia="Arial" w:hAnsi="Times New Roman" w:cs="Times New Roman"/>
          <w:sz w:val="22"/>
          <w:szCs w:val="22"/>
        </w:rPr>
        <w:t xml:space="preserve"> / CR, data 2. nawrotu)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;</w:t>
      </w:r>
    </w:p>
    <w:p w14:paraId="0000027E" w14:textId="7DBAC088" w:rsidR="00683C34" w:rsidRPr="006318B7" w:rsidRDefault="00FF46B0" w:rsidP="00E7488B">
      <w:pPr>
        <w:numPr>
          <w:ilvl w:val="0"/>
          <w:numId w:val="25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318B7">
        <w:rPr>
          <w:rFonts w:ascii="Times New Roman" w:eastAsia="Arial" w:hAnsi="Times New Roman" w:cs="Times New Roman"/>
          <w:sz w:val="22"/>
          <w:szCs w:val="22"/>
        </w:rPr>
        <w:t xml:space="preserve">OS (data rozpoznania, data ostatniej obserwacji dla </w:t>
      </w:r>
      <w:r w:rsidR="0013463C" w:rsidRPr="006318B7">
        <w:rPr>
          <w:rFonts w:ascii="Times New Roman" w:eastAsia="Arial" w:hAnsi="Times New Roman" w:cs="Times New Roman"/>
          <w:sz w:val="22"/>
          <w:szCs w:val="22"/>
        </w:rPr>
        <w:t xml:space="preserve">świadczeniobiorców </w:t>
      </w:r>
      <w:r w:rsidRPr="006318B7">
        <w:rPr>
          <w:rFonts w:ascii="Times New Roman" w:eastAsia="Arial" w:hAnsi="Times New Roman" w:cs="Times New Roman"/>
          <w:sz w:val="22"/>
          <w:szCs w:val="22"/>
        </w:rPr>
        <w:t>żyjących lub data zgonu)</w:t>
      </w:r>
      <w:r w:rsidR="00E7488B" w:rsidRPr="006318B7">
        <w:rPr>
          <w:rFonts w:ascii="Times New Roman" w:eastAsia="Arial" w:hAnsi="Times New Roman" w:cs="Times New Roman"/>
          <w:sz w:val="22"/>
          <w:szCs w:val="22"/>
        </w:rPr>
        <w:t>.</w:t>
      </w:r>
    </w:p>
    <w:p w14:paraId="30BF5002" w14:textId="285656E3" w:rsidR="00C90877" w:rsidRPr="006318B7" w:rsidRDefault="00C90877" w:rsidP="00C9087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>*</w:t>
      </w:r>
      <w:r w:rsidRPr="006318B7">
        <w:rPr>
          <w:rFonts w:ascii="Times New Roman" w:eastAsia="Arial" w:hAnsi="Times New Roman" w:cs="Times New Roman"/>
          <w:b/>
          <w:sz w:val="22"/>
          <w:szCs w:val="22"/>
          <w:vertAlign w:val="superscript"/>
        </w:rPr>
        <w:t>)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6318B7">
        <w:rPr>
          <w:rFonts w:ascii="Times New Roman" w:eastAsia="Arial" w:hAnsi="Times New Roman" w:cs="Times New Roman"/>
          <w:b/>
          <w:sz w:val="22"/>
          <w:szCs w:val="22"/>
        </w:rPr>
        <w:t>u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żyte w części II skróty oznaczają: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68"/>
      </w:tblGrid>
      <w:tr w:rsidR="00B2440D" w:rsidRPr="006318B7" w14:paraId="1D150BD0" w14:textId="77777777" w:rsidTr="00B2440D">
        <w:tc>
          <w:tcPr>
            <w:tcW w:w="846" w:type="dxa"/>
          </w:tcPr>
          <w:bookmarkEnd w:id="18"/>
          <w:p w14:paraId="107A2009" w14:textId="294375A1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CR</w:t>
            </w:r>
          </w:p>
        </w:tc>
        <w:tc>
          <w:tcPr>
            <w:tcW w:w="8068" w:type="dxa"/>
          </w:tcPr>
          <w:p w14:paraId="726EBB51" w14:textId="1546B738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</w:rPr>
            </w:pPr>
            <w:r w:rsidRPr="006318B7">
              <w:rPr>
                <w:rFonts w:ascii="Times New Roman" w:eastAsia="Arial" w:hAnsi="Times New Roman" w:cs="Times New Roman"/>
              </w:rPr>
              <w:t xml:space="preserve">całkowita remisja </w:t>
            </w:r>
          </w:p>
        </w:tc>
      </w:tr>
      <w:tr w:rsidR="00B2440D" w:rsidRPr="006318B7" w14:paraId="1238663D" w14:textId="77777777" w:rsidTr="00B2440D">
        <w:tc>
          <w:tcPr>
            <w:tcW w:w="846" w:type="dxa"/>
          </w:tcPr>
          <w:p w14:paraId="01BC6877" w14:textId="2B0A8EA5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CRi</w:t>
            </w:r>
          </w:p>
        </w:tc>
        <w:tc>
          <w:tcPr>
            <w:tcW w:w="8068" w:type="dxa"/>
          </w:tcPr>
          <w:p w14:paraId="4B72E7EE" w14:textId="0795404F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</w:rPr>
            </w:pPr>
            <w:r w:rsidRPr="006318B7">
              <w:rPr>
                <w:rFonts w:ascii="Times New Roman" w:eastAsia="Arial" w:hAnsi="Times New Roman" w:cs="Times New Roman"/>
              </w:rPr>
              <w:t xml:space="preserve">całkowita remisja z niepełną regeneracją hematopoezy, </w:t>
            </w:r>
          </w:p>
        </w:tc>
      </w:tr>
      <w:tr w:rsidR="00B2440D" w:rsidRPr="006318B7" w14:paraId="3A7ABC90" w14:textId="77777777" w:rsidTr="00B2440D">
        <w:tc>
          <w:tcPr>
            <w:tcW w:w="846" w:type="dxa"/>
          </w:tcPr>
          <w:p w14:paraId="08C67CB8" w14:textId="26E1939D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CRm</w:t>
            </w:r>
          </w:p>
        </w:tc>
        <w:tc>
          <w:tcPr>
            <w:tcW w:w="8068" w:type="dxa"/>
          </w:tcPr>
          <w:p w14:paraId="18B6DE4C" w14:textId="79F4C885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6318B7">
              <w:rPr>
                <w:rFonts w:ascii="Times New Roman" w:eastAsia="Arial" w:hAnsi="Times New Roman" w:cs="Times New Roman"/>
                <w:bCs/>
              </w:rPr>
              <w:t xml:space="preserve">całkowita metaboliczna remisja, </w:t>
            </w:r>
          </w:p>
        </w:tc>
      </w:tr>
      <w:tr w:rsidR="00B2440D" w:rsidRPr="006318B7" w14:paraId="5B495BE9" w14:textId="77777777" w:rsidTr="00B2440D">
        <w:tc>
          <w:tcPr>
            <w:tcW w:w="846" w:type="dxa"/>
          </w:tcPr>
          <w:p w14:paraId="65F794A6" w14:textId="425B1DCD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PFS</w:t>
            </w:r>
          </w:p>
        </w:tc>
        <w:tc>
          <w:tcPr>
            <w:tcW w:w="8068" w:type="dxa"/>
          </w:tcPr>
          <w:p w14:paraId="11A0A793" w14:textId="086CD347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6318B7">
              <w:rPr>
                <w:rFonts w:ascii="Times New Roman" w:eastAsia="Arial" w:hAnsi="Times New Roman" w:cs="Times New Roman"/>
                <w:bCs/>
              </w:rPr>
              <w:t xml:space="preserve">przeżycie wolne od progresji, </w:t>
            </w:r>
          </w:p>
        </w:tc>
      </w:tr>
      <w:tr w:rsidR="00B2440D" w:rsidRPr="006318B7" w14:paraId="4FF6A413" w14:textId="77777777" w:rsidTr="00B2440D">
        <w:tc>
          <w:tcPr>
            <w:tcW w:w="846" w:type="dxa"/>
          </w:tcPr>
          <w:p w14:paraId="552CA18F" w14:textId="48421058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PR</w:t>
            </w:r>
          </w:p>
        </w:tc>
        <w:tc>
          <w:tcPr>
            <w:tcW w:w="8068" w:type="dxa"/>
          </w:tcPr>
          <w:p w14:paraId="2857EB9D" w14:textId="4A7B1CD6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6318B7">
              <w:rPr>
                <w:rFonts w:ascii="Times New Roman" w:eastAsia="Arial" w:hAnsi="Times New Roman" w:cs="Times New Roman"/>
                <w:bCs/>
              </w:rPr>
              <w:t xml:space="preserve">częściowa remisja, </w:t>
            </w:r>
          </w:p>
        </w:tc>
      </w:tr>
      <w:tr w:rsidR="00B2440D" w:rsidRPr="006318B7" w14:paraId="024E1E51" w14:textId="77777777" w:rsidTr="00B2440D">
        <w:tc>
          <w:tcPr>
            <w:tcW w:w="846" w:type="dxa"/>
          </w:tcPr>
          <w:p w14:paraId="03155CC3" w14:textId="2325BA2A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OS</w:t>
            </w:r>
          </w:p>
        </w:tc>
        <w:tc>
          <w:tcPr>
            <w:tcW w:w="8068" w:type="dxa"/>
          </w:tcPr>
          <w:p w14:paraId="44015607" w14:textId="65EDF4D8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</w:rPr>
            </w:pPr>
            <w:r w:rsidRPr="006318B7">
              <w:rPr>
                <w:rFonts w:ascii="Times New Roman" w:eastAsia="Arial" w:hAnsi="Times New Roman" w:cs="Times New Roman"/>
              </w:rPr>
              <w:t>całkowite przeżycie.</w:t>
            </w:r>
          </w:p>
        </w:tc>
      </w:tr>
      <w:tr w:rsidR="00B2440D" w:rsidRPr="006318B7" w14:paraId="00E1F6AF" w14:textId="77777777" w:rsidTr="00B2440D">
        <w:tc>
          <w:tcPr>
            <w:tcW w:w="846" w:type="dxa"/>
          </w:tcPr>
          <w:p w14:paraId="045B0C24" w14:textId="5F48B68A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RFS</w:t>
            </w:r>
          </w:p>
        </w:tc>
        <w:tc>
          <w:tcPr>
            <w:tcW w:w="8068" w:type="dxa"/>
          </w:tcPr>
          <w:p w14:paraId="09EDBFC1" w14:textId="757D69F3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</w:rPr>
            </w:pPr>
            <w:r w:rsidRPr="006318B7">
              <w:rPr>
                <w:rFonts w:ascii="Times New Roman" w:eastAsia="Arial" w:hAnsi="Times New Roman" w:cs="Times New Roman"/>
              </w:rPr>
              <w:t xml:space="preserve">przeżycie wolne od nawrotu, </w:t>
            </w:r>
          </w:p>
        </w:tc>
      </w:tr>
      <w:tr w:rsidR="00B2440D" w:rsidRPr="006318B7" w14:paraId="4A916822" w14:textId="77777777" w:rsidTr="00B2440D">
        <w:tc>
          <w:tcPr>
            <w:tcW w:w="846" w:type="dxa"/>
          </w:tcPr>
          <w:p w14:paraId="39BC84D1" w14:textId="16F35E48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SD</w:t>
            </w:r>
          </w:p>
        </w:tc>
        <w:tc>
          <w:tcPr>
            <w:tcW w:w="8068" w:type="dxa"/>
          </w:tcPr>
          <w:p w14:paraId="77C13815" w14:textId="7D66C377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6318B7">
              <w:rPr>
                <w:rFonts w:ascii="Times New Roman" w:eastAsia="Arial" w:hAnsi="Times New Roman" w:cs="Times New Roman"/>
                <w:bCs/>
              </w:rPr>
              <w:t xml:space="preserve">stabilizacja choroby, </w:t>
            </w:r>
          </w:p>
        </w:tc>
      </w:tr>
      <w:tr w:rsidR="00B2440D" w:rsidRPr="006318B7" w14:paraId="16331599" w14:textId="77777777" w:rsidTr="00B2440D">
        <w:tc>
          <w:tcPr>
            <w:tcW w:w="846" w:type="dxa"/>
          </w:tcPr>
          <w:p w14:paraId="0540A8B3" w14:textId="5BF5E310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318B7">
              <w:rPr>
                <w:rFonts w:ascii="Times New Roman" w:eastAsia="Arial" w:hAnsi="Times New Roman" w:cs="Times New Roman"/>
                <w:b/>
                <w:bCs/>
              </w:rPr>
              <w:t>VGPR</w:t>
            </w:r>
          </w:p>
        </w:tc>
        <w:tc>
          <w:tcPr>
            <w:tcW w:w="8068" w:type="dxa"/>
          </w:tcPr>
          <w:p w14:paraId="4754AB0E" w14:textId="56A6B1E6" w:rsidR="00B2440D" w:rsidRPr="006318B7" w:rsidRDefault="00B2440D" w:rsidP="00282761">
            <w:pPr>
              <w:jc w:val="both"/>
              <w:rPr>
                <w:rFonts w:ascii="Times New Roman" w:eastAsia="Arial" w:hAnsi="Times New Roman" w:cs="Times New Roman"/>
              </w:rPr>
            </w:pPr>
            <w:r w:rsidRPr="006318B7">
              <w:rPr>
                <w:rFonts w:ascii="Times New Roman" w:eastAsia="Arial" w:hAnsi="Times New Roman" w:cs="Times New Roman"/>
              </w:rPr>
              <w:t>bardzo dobra częściowa remisja</w:t>
            </w:r>
          </w:p>
        </w:tc>
      </w:tr>
    </w:tbl>
    <w:p w14:paraId="44A604B9" w14:textId="77777777" w:rsidR="00B2440D" w:rsidRPr="006318B7" w:rsidRDefault="00B2440D" w:rsidP="00B2440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37F1EBFF" w14:textId="77777777" w:rsidR="009452EB" w:rsidRDefault="009452EB" w:rsidP="002B2A13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6FD0D657" w14:textId="77777777" w:rsidR="009452EB" w:rsidRDefault="009452EB" w:rsidP="002B2A13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048A33FD" w14:textId="6B0D144E" w:rsidR="002B2A13" w:rsidRPr="006318B7" w:rsidRDefault="00B94A6A" w:rsidP="002B2A13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III. </w:t>
      </w:r>
      <w:r w:rsidR="002B2A13"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Mierniki 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 xml:space="preserve">programu </w:t>
      </w:r>
      <w:r w:rsidR="002B2A13" w:rsidRPr="006318B7">
        <w:rPr>
          <w:rFonts w:ascii="Times New Roman" w:eastAsia="Arial" w:hAnsi="Times New Roman" w:cs="Times New Roman"/>
          <w:b/>
          <w:sz w:val="22"/>
          <w:szCs w:val="22"/>
        </w:rPr>
        <w:t>pilotaż</w:t>
      </w:r>
      <w:r w:rsidR="00E7488B" w:rsidRPr="006318B7">
        <w:rPr>
          <w:rFonts w:ascii="Times New Roman" w:eastAsia="Arial" w:hAnsi="Times New Roman" w:cs="Times New Roman"/>
          <w:b/>
          <w:sz w:val="22"/>
          <w:szCs w:val="22"/>
        </w:rPr>
        <w:t>owego</w:t>
      </w:r>
      <w:r w:rsidR="003A23C5" w:rsidRPr="006318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A23C5" w:rsidRPr="006318B7">
        <w:rPr>
          <w:rFonts w:ascii="Times New Roman" w:eastAsia="Arial" w:hAnsi="Times New Roman" w:cs="Times New Roman"/>
          <w:b/>
          <w:sz w:val="22"/>
          <w:szCs w:val="22"/>
        </w:rPr>
        <w:t>opieki nad świadczeniobiorcą w ramach krajowej sieci hematologicznej</w:t>
      </w:r>
      <w:r w:rsidRPr="006318B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14:paraId="5A348553" w14:textId="15F18744" w:rsidR="005C60C3" w:rsidRPr="006318B7" w:rsidRDefault="00B94A6A" w:rsidP="00E748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iczba </w:t>
      </w:r>
      <w:r w:rsidR="002515EB" w:rsidRPr="006318B7">
        <w:rPr>
          <w:rFonts w:ascii="Times New Roman" w:eastAsia="Arial" w:hAnsi="Times New Roman" w:cs="Times New Roman"/>
          <w:sz w:val="22"/>
          <w:szCs w:val="22"/>
          <w:lang w:val="pl"/>
        </w:rPr>
        <w:t>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z podejrzeniem nowotworu </w:t>
      </w:r>
      <w:bookmarkStart w:id="21" w:name="_Hlk138019541"/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mieloidalnego lub limfoidalnego </w:t>
      </w:r>
      <w:bookmarkEnd w:id="21"/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zakwalifikowanych do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programu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pilotaż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owego;</w:t>
      </w:r>
    </w:p>
    <w:p w14:paraId="2BEBA1D0" w14:textId="65829139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iczba </w:t>
      </w:r>
      <w:r w:rsidR="002515EB" w:rsidRPr="006318B7">
        <w:rPr>
          <w:rFonts w:ascii="Times New Roman" w:eastAsia="Arial" w:hAnsi="Times New Roman" w:cs="Times New Roman"/>
          <w:sz w:val="22"/>
          <w:szCs w:val="22"/>
          <w:lang w:val="pl"/>
        </w:rPr>
        <w:t>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z podejrzeniem nowotworu mieloidalnego lub limfoidalnego zakwalifikowanych do 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programu pilotażowego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, u których potwierdzono rozpoznanie nowotworu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09AB682E" w14:textId="6700DA2B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</w:t>
      </w:r>
      <w:r w:rsidR="002515EB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, </w:t>
      </w:r>
      <w:r w:rsidR="00D63891" w:rsidRPr="006318B7">
        <w:rPr>
          <w:rFonts w:ascii="Times New Roman" w:eastAsia="Arial" w:hAnsi="Times New Roman" w:cs="Times New Roman"/>
          <w:sz w:val="22"/>
          <w:szCs w:val="22"/>
          <w:lang w:val="pl"/>
        </w:rPr>
        <w:t>któr</w:t>
      </w:r>
      <w:r w:rsidR="00D63891">
        <w:rPr>
          <w:rFonts w:ascii="Times New Roman" w:eastAsia="Arial" w:hAnsi="Times New Roman" w:cs="Times New Roman"/>
          <w:sz w:val="22"/>
          <w:szCs w:val="22"/>
          <w:lang w:val="pl"/>
        </w:rPr>
        <w:t>zy</w:t>
      </w:r>
      <w:r w:rsidR="00D63891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nie </w:t>
      </w:r>
      <w:r w:rsidR="00D63891" w:rsidRPr="006318B7">
        <w:rPr>
          <w:rFonts w:ascii="Times New Roman" w:eastAsia="Arial" w:hAnsi="Times New Roman" w:cs="Times New Roman"/>
          <w:sz w:val="22"/>
          <w:szCs w:val="22"/>
          <w:lang w:val="pl"/>
        </w:rPr>
        <w:t>ukończy</w:t>
      </w:r>
      <w:r w:rsidR="00D63891">
        <w:rPr>
          <w:rFonts w:ascii="Times New Roman" w:eastAsia="Arial" w:hAnsi="Times New Roman" w:cs="Times New Roman"/>
          <w:sz w:val="22"/>
          <w:szCs w:val="22"/>
          <w:lang w:val="pl"/>
        </w:rPr>
        <w:t>li</w:t>
      </w:r>
      <w:r w:rsidR="00D63891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programu pilotażowego (niezależnie od przyczyny)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</w:t>
      </w:r>
    </w:p>
    <w:p w14:paraId="0FC8685B" w14:textId="75FF5C9A" w:rsidR="005C60C3" w:rsidRPr="006318B7" w:rsidRDefault="00B94A6A" w:rsidP="00E748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lastRenderedPageBreak/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</w:t>
      </w:r>
      <w:r w:rsidR="002515EB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, </w:t>
      </w:r>
      <w:r w:rsidR="00D63891" w:rsidRPr="006318B7">
        <w:rPr>
          <w:rFonts w:ascii="Times New Roman" w:eastAsia="Arial" w:hAnsi="Times New Roman" w:cs="Times New Roman"/>
          <w:sz w:val="22"/>
          <w:szCs w:val="22"/>
          <w:lang w:val="pl"/>
        </w:rPr>
        <w:t>któr</w:t>
      </w:r>
      <w:r w:rsidR="00D63891">
        <w:rPr>
          <w:rFonts w:ascii="Times New Roman" w:eastAsia="Arial" w:hAnsi="Times New Roman" w:cs="Times New Roman"/>
          <w:sz w:val="22"/>
          <w:szCs w:val="22"/>
          <w:lang w:val="pl"/>
        </w:rPr>
        <w:t>zy</w:t>
      </w:r>
      <w:r w:rsidR="00D63891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odmówi</w:t>
      </w:r>
      <w:r w:rsidR="00D63891">
        <w:rPr>
          <w:rFonts w:ascii="Times New Roman" w:eastAsia="Arial" w:hAnsi="Times New Roman" w:cs="Times New Roman"/>
          <w:sz w:val="22"/>
          <w:szCs w:val="22"/>
          <w:lang w:val="pl"/>
        </w:rPr>
        <w:t>li</w:t>
      </w:r>
      <w:r w:rsidR="00D63891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udziału w 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programie pilotażowym;</w:t>
      </w:r>
    </w:p>
    <w:p w14:paraId="16583504" w14:textId="72F25386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</w:t>
      </w:r>
      <w:r w:rsidR="002515EB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włączonych do 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programu pilotażowego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, u których rozpoznanie nowotworu mieloidalnego lub limfoidalnego postawiono w czasie krótszym niż 4 tygodnie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50F698A5" w14:textId="7291C24C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 konsultacji wielospecjalistycznych przypadających na jednego</w:t>
      </w:r>
      <w:r w:rsidR="00D00D09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świadczeniobiorcę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łącznie i danego typu zrealizowana w ramach 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programu pilotażowego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, zleconych przez lekarza</w:t>
      </w:r>
      <w:r w:rsidR="00DB3E6D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opieki hematologicznej, udzielonych świadczeniobiorcy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1F4AC2A4" w14:textId="60908996" w:rsidR="005C60C3" w:rsidRPr="006318B7" w:rsidRDefault="00B94A6A" w:rsidP="00E748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 porad i konsultacji telefonicznych</w:t>
      </w:r>
      <w:r w:rsidR="00D63891">
        <w:rPr>
          <w:rFonts w:ascii="Times New Roman" w:eastAsia="Arial" w:hAnsi="Times New Roman" w:cs="Times New Roman"/>
          <w:sz w:val="22"/>
          <w:szCs w:val="22"/>
          <w:lang w:val="pl"/>
        </w:rPr>
        <w:t xml:space="preserve"> lub</w:t>
      </w:r>
      <w:r w:rsidR="00D63891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teleinformatycznych przeprowadzonych przez wojewódzki ośrodek koordynujący dla ośrodków poziomu referencyjnego wysokospecjalistycznego, specjalistycznego i podstawowego w danym województwie ramach 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programu pilotażowego;</w:t>
      </w:r>
    </w:p>
    <w:p w14:paraId="04AABE40" w14:textId="23FB3342" w:rsidR="005C60C3" w:rsidRPr="006318B7" w:rsidRDefault="00B94A6A" w:rsidP="00E748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 porad i konsultacji telefonicznych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 xml:space="preserve"> lub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teleinformatycznych przeprowadzonych przez ośrodek poziomu wysokospecjalistycznego dla ośrodków poziomu specjalistycznego i podstawowego w danym województwie w ramach 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programu pilotażowego;</w:t>
      </w:r>
    </w:p>
    <w:p w14:paraId="38BB81F6" w14:textId="76EA36CD" w:rsidR="005C60C3" w:rsidRPr="006318B7" w:rsidRDefault="00B94A6A" w:rsidP="00E748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 porad i konsultacji telefonicznych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 xml:space="preserve"> lub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teleinformatycznych przeprowadzonych przez ośrodek poziomu specjalistycznego dla ośrodków poziomu podstawowego w danym województwie w ramach </w:t>
      </w: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programu pilotażowego;</w:t>
      </w:r>
    </w:p>
    <w:p w14:paraId="38041290" w14:textId="6E7B8FD8" w:rsidR="000F6C55" w:rsidRPr="000F6C55" w:rsidRDefault="000F6C55" w:rsidP="00AF1356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0F6C55">
        <w:rPr>
          <w:rFonts w:ascii="Times New Roman" w:eastAsia="Arial" w:hAnsi="Times New Roman" w:cs="Times New Roman"/>
          <w:sz w:val="22"/>
          <w:szCs w:val="22"/>
          <w:lang w:val="pl"/>
        </w:rPr>
        <w:t>liczba udzielonych informacji dotyczących programu pilotażowego krajowej sieci hematologicznej, w tym organizacji opieki i możliwości uzyskania świadczeń opieki zdrowotnej, z wykorzystaniem środków komunikacji teleinformatycznej, o której mowa w §</w:t>
      </w:r>
      <w:r w:rsidR="00B2522E">
        <w:rPr>
          <w:rFonts w:ascii="Times New Roman" w:eastAsia="Arial" w:hAnsi="Times New Roman" w:cs="Times New Roman"/>
          <w:sz w:val="22"/>
          <w:szCs w:val="22"/>
          <w:lang w:val="pl"/>
        </w:rPr>
        <w:t> </w:t>
      </w:r>
      <w:r w:rsidRPr="000F6C55">
        <w:rPr>
          <w:rFonts w:ascii="Times New Roman" w:eastAsia="Arial" w:hAnsi="Times New Roman" w:cs="Times New Roman"/>
          <w:sz w:val="22"/>
          <w:szCs w:val="22"/>
          <w:lang w:val="pl"/>
        </w:rPr>
        <w:t xml:space="preserve">8 ust. 1 pkt </w:t>
      </w:r>
      <w:r w:rsidR="00F101C6">
        <w:rPr>
          <w:rFonts w:ascii="Times New Roman" w:eastAsia="Arial" w:hAnsi="Times New Roman" w:cs="Times New Roman"/>
          <w:sz w:val="22"/>
          <w:szCs w:val="22"/>
          <w:lang w:val="pl"/>
        </w:rPr>
        <w:t>3</w:t>
      </w:r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 xml:space="preserve"> rozporządzenia</w:t>
      </w:r>
      <w:r w:rsidRPr="000F6C55">
        <w:rPr>
          <w:rFonts w:ascii="Times New Roman" w:eastAsia="Arial" w:hAnsi="Times New Roman" w:cs="Times New Roman"/>
          <w:sz w:val="22"/>
          <w:szCs w:val="22"/>
          <w:lang w:val="pl"/>
        </w:rPr>
        <w:t>, przeprowadzonych w krajowym ośrodku koordynującym (w okresie miesiąca/roku);</w:t>
      </w:r>
    </w:p>
    <w:p w14:paraId="677B2354" w14:textId="5BAE0D60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</w:t>
      </w:r>
      <w:r w:rsidR="00D00D09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z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 xml:space="preserve"> rozpoznaniem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nowotwor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>u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mieloidaln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>ego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lub limfoidaln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>ego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włączonych do</w:t>
      </w:r>
      <w:r w:rsidR="00455872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programu</w:t>
      </w:r>
      <w:r w:rsidR="008F6F8F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pilotażowego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u których wykonano kompletną diagnostykę hematologiczną zgodnie z wytycznymi programu pilotażowego</w:t>
      </w:r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05265E8E" w14:textId="2F7DC4E7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iczba 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wykonanych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badań histopatologicznych 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 xml:space="preserve">w celu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rozpoznania nowotworów mieloidalnych lub limfoidalnych, w tym kompletność wyników histopatologicznych</w:t>
      </w:r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2C061B5E" w14:textId="61D09956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iczba 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wykonanych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badań immunofenotypowych 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 xml:space="preserve">w celu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rozpoznania nowotworów </w:t>
      </w:r>
      <w:bookmarkStart w:id="22" w:name="_Hlk138019823"/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mieloidalnych lub limfoidalnych</w:t>
      </w:r>
      <w:bookmarkEnd w:id="22"/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0154BE51" w14:textId="3A31E16E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iczba 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wykonanych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badań cytogenetycznych </w:t>
      </w:r>
      <w:r w:rsidR="00D45346">
        <w:rPr>
          <w:rFonts w:ascii="Times New Roman" w:eastAsia="Arial" w:hAnsi="Times New Roman" w:cs="Times New Roman"/>
          <w:sz w:val="22"/>
          <w:szCs w:val="22"/>
          <w:lang w:val="pl"/>
        </w:rPr>
        <w:t xml:space="preserve">w celu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do rozpoznania nowotworów mieloidalnych lub limfoidalnych</w:t>
      </w:r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2B15E2BF" w14:textId="3344EDCF" w:rsidR="005C60C3" w:rsidRPr="006318B7" w:rsidRDefault="00B94A6A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iczba 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>wykona</w:t>
      </w:r>
      <w:r w:rsidR="0021726B">
        <w:rPr>
          <w:rFonts w:ascii="Times New Roman" w:eastAsia="Arial" w:hAnsi="Times New Roman" w:cs="Times New Roman"/>
          <w:sz w:val="22"/>
          <w:szCs w:val="22"/>
          <w:lang w:val="pl"/>
        </w:rPr>
        <w:t>n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ych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badań molekularnych </w:t>
      </w:r>
      <w:r w:rsidR="000D59F2">
        <w:rPr>
          <w:rFonts w:ascii="Times New Roman" w:eastAsia="Arial" w:hAnsi="Times New Roman" w:cs="Times New Roman"/>
          <w:sz w:val="22"/>
          <w:szCs w:val="22"/>
          <w:lang w:val="pl"/>
        </w:rPr>
        <w:t xml:space="preserve">w celu 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rozpoznania nowotworów mieloidalnych lub limfoidalnych</w:t>
      </w:r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3AE2D838" w14:textId="141BCE8D" w:rsidR="005C60C3" w:rsidRPr="006318B7" w:rsidRDefault="006318B7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</w:t>
      </w:r>
      <w:r w:rsidR="00D00D09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z rozpoznaniem nowotworu mieloidalnego lub limfoidalnego, którzy zostali zakwalifikowani do leczenia 1. </w:t>
      </w:r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inii</w:t>
      </w:r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2B8DB014" w14:textId="00137859" w:rsidR="005C60C3" w:rsidRPr="006318B7" w:rsidRDefault="006318B7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</w:t>
      </w:r>
      <w:r w:rsidR="00D00D09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z rozpoznaniem nowotworu limfoidalnego, którzy zostali zakwalifikowani do aktywnej obserwacji</w:t>
      </w:r>
      <w:r w:rsidR="00A0727E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</w:p>
    <w:p w14:paraId="75A8C0C9" w14:textId="1F1C14CE" w:rsidR="005C60C3" w:rsidRPr="006318B7" w:rsidRDefault="006318B7" w:rsidP="00E7488B">
      <w:pPr>
        <w:numPr>
          <w:ilvl w:val="0"/>
          <w:numId w:val="17"/>
        </w:numP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iczba</w:t>
      </w:r>
      <w:r w:rsidR="00D00D09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z rozpoznaniem nowotworu mieloidalnego lub limfoidalnego, którzy zostali zakwalifikowani do leczenia objawowego (BSC, </w:t>
      </w:r>
      <w:r w:rsidR="005C60C3" w:rsidRPr="006318B7">
        <w:rPr>
          <w:rFonts w:ascii="Times New Roman" w:eastAsia="Arial" w:hAnsi="Times New Roman" w:cs="Times New Roman"/>
          <w:i/>
          <w:iCs/>
          <w:sz w:val="22"/>
          <w:szCs w:val="22"/>
          <w:lang w:val="pl"/>
        </w:rPr>
        <w:t>best supportive care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)</w:t>
      </w:r>
      <w:r w:rsidR="007F5B3C">
        <w:rPr>
          <w:rFonts w:ascii="Times New Roman" w:eastAsia="Arial" w:hAnsi="Times New Roman" w:cs="Times New Roman"/>
          <w:sz w:val="22"/>
          <w:szCs w:val="22"/>
          <w:lang w:val="pl"/>
        </w:rPr>
        <w:t>;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</w:t>
      </w:r>
    </w:p>
    <w:p w14:paraId="16C35A7E" w14:textId="78626E98" w:rsidR="005C60C3" w:rsidRPr="006318B7" w:rsidRDefault="00B94A6A" w:rsidP="00E748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Arial" w:hAnsi="Times New Roman" w:cs="Times New Roman"/>
          <w:sz w:val="22"/>
          <w:szCs w:val="22"/>
          <w:lang w:val="pl"/>
        </w:rPr>
      </w:pPr>
      <w:r w:rsidRPr="006318B7">
        <w:rPr>
          <w:rFonts w:ascii="Times New Roman" w:eastAsia="Arial" w:hAnsi="Times New Roman" w:cs="Times New Roman"/>
          <w:sz w:val="22"/>
          <w:szCs w:val="22"/>
          <w:lang w:val="pl"/>
        </w:rPr>
        <w:t>l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iczba </w:t>
      </w:r>
      <w:r w:rsidR="0013463C" w:rsidRPr="006318B7">
        <w:rPr>
          <w:rFonts w:ascii="Times New Roman" w:eastAsia="Arial" w:hAnsi="Times New Roman" w:cs="Times New Roman"/>
          <w:sz w:val="22"/>
          <w:szCs w:val="22"/>
          <w:lang w:val="pl"/>
        </w:rPr>
        <w:t>świadczeniobiorców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z rozpoznan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>ym w ramach pilotażu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nowotwor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>em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mieloidaln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>ym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 xml:space="preserve"> lub limfoidaln</w:t>
      </w:r>
      <w:r w:rsidR="00C34BDD" w:rsidRPr="006318B7">
        <w:rPr>
          <w:rFonts w:ascii="Times New Roman" w:eastAsia="Arial" w:hAnsi="Times New Roman" w:cs="Times New Roman"/>
          <w:sz w:val="22"/>
          <w:szCs w:val="22"/>
          <w:lang w:val="pl"/>
        </w:rPr>
        <w:t>ym</w:t>
      </w:r>
      <w:r w:rsidR="005C60C3" w:rsidRPr="006318B7">
        <w:rPr>
          <w:rFonts w:ascii="Times New Roman" w:eastAsia="Arial" w:hAnsi="Times New Roman" w:cs="Times New Roman"/>
          <w:sz w:val="22"/>
          <w:szCs w:val="22"/>
          <w:lang w:val="pl"/>
        </w:rPr>
        <w:t>, którzy zostali zakwalifikowani do leczenia 2. linii.</w:t>
      </w:r>
    </w:p>
    <w:p w14:paraId="5F7362AC" w14:textId="77777777" w:rsidR="005C60C3" w:rsidRPr="006318B7" w:rsidRDefault="005C60C3" w:rsidP="00E7488B">
      <w:pPr>
        <w:jc w:val="both"/>
        <w:rPr>
          <w:rFonts w:ascii="Times New Roman" w:eastAsia="Arial" w:hAnsi="Times New Roman" w:cs="Times New Roman"/>
          <w:sz w:val="22"/>
          <w:szCs w:val="22"/>
          <w:highlight w:val="yellow"/>
          <w:lang w:val="pl"/>
        </w:rPr>
      </w:pPr>
    </w:p>
    <w:p w14:paraId="689D4496" w14:textId="77777777" w:rsidR="005C60C3" w:rsidRPr="006318B7" w:rsidRDefault="005C60C3" w:rsidP="005C60C3">
      <w:pPr>
        <w:spacing w:line="276" w:lineRule="auto"/>
        <w:rPr>
          <w:rFonts w:ascii="Times New Roman" w:eastAsia="Arial" w:hAnsi="Times New Roman" w:cs="Times New Roman"/>
          <w:sz w:val="22"/>
          <w:szCs w:val="22"/>
          <w:lang w:val="pl"/>
        </w:rPr>
      </w:pPr>
    </w:p>
    <w:p w14:paraId="24FE5B40" w14:textId="77777777" w:rsidR="002B2A13" w:rsidRPr="006318B7" w:rsidRDefault="002B2A13" w:rsidP="002B2A13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sectPr w:rsidR="002B2A13" w:rsidRPr="006318B7">
      <w:footerReference w:type="default" r:id="rId9"/>
      <w:pgSz w:w="11900" w:h="16840"/>
      <w:pgMar w:top="1417" w:right="1417" w:bottom="1417" w:left="155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39EC" w14:textId="77777777" w:rsidR="00D66863" w:rsidRDefault="00D66863">
      <w:r>
        <w:separator/>
      </w:r>
    </w:p>
  </w:endnote>
  <w:endnote w:type="continuationSeparator" w:id="0">
    <w:p w14:paraId="1E60FDA1" w14:textId="77777777" w:rsidR="00D66863" w:rsidRDefault="00D6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4" w14:textId="647C9B85" w:rsidR="00683C34" w:rsidRDefault="00FF4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6CF3">
      <w:rPr>
        <w:noProof/>
        <w:color w:val="000000"/>
      </w:rPr>
      <w:t>1</w:t>
    </w:r>
    <w:r>
      <w:rPr>
        <w:color w:val="000000"/>
      </w:rPr>
      <w:fldChar w:fldCharType="end"/>
    </w:r>
  </w:p>
  <w:p w14:paraId="00000285" w14:textId="77777777" w:rsidR="00683C34" w:rsidRDefault="00683C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5D84" w14:textId="77777777" w:rsidR="00D66863" w:rsidRDefault="00D66863">
      <w:r>
        <w:separator/>
      </w:r>
    </w:p>
  </w:footnote>
  <w:footnote w:type="continuationSeparator" w:id="0">
    <w:p w14:paraId="6CD89F49" w14:textId="77777777" w:rsidR="00D66863" w:rsidRDefault="00D6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592"/>
    <w:multiLevelType w:val="hybridMultilevel"/>
    <w:tmpl w:val="7CE4BDD6"/>
    <w:lvl w:ilvl="0" w:tplc="6E68F244">
      <w:start w:val="1"/>
      <w:numFmt w:val="decimal"/>
      <w:lvlText w:val="%1."/>
      <w:lvlJc w:val="left"/>
      <w:pPr>
        <w:ind w:left="720" w:hanging="360"/>
      </w:pPr>
    </w:lvl>
    <w:lvl w:ilvl="1" w:tplc="AD10E406">
      <w:start w:val="1"/>
      <w:numFmt w:val="decimal"/>
      <w:lvlText w:val="%2."/>
      <w:lvlJc w:val="left"/>
      <w:pPr>
        <w:ind w:left="720" w:hanging="360"/>
      </w:pPr>
    </w:lvl>
    <w:lvl w:ilvl="2" w:tplc="604EEBD2">
      <w:start w:val="1"/>
      <w:numFmt w:val="decimal"/>
      <w:lvlText w:val="%3."/>
      <w:lvlJc w:val="left"/>
      <w:pPr>
        <w:ind w:left="720" w:hanging="360"/>
      </w:pPr>
    </w:lvl>
    <w:lvl w:ilvl="3" w:tplc="9B5A774E">
      <w:start w:val="1"/>
      <w:numFmt w:val="decimal"/>
      <w:lvlText w:val="%4."/>
      <w:lvlJc w:val="left"/>
      <w:pPr>
        <w:ind w:left="720" w:hanging="360"/>
      </w:pPr>
    </w:lvl>
    <w:lvl w:ilvl="4" w:tplc="4A6A209E">
      <w:start w:val="1"/>
      <w:numFmt w:val="decimal"/>
      <w:lvlText w:val="%5."/>
      <w:lvlJc w:val="left"/>
      <w:pPr>
        <w:ind w:left="720" w:hanging="360"/>
      </w:pPr>
    </w:lvl>
    <w:lvl w:ilvl="5" w:tplc="D314312C">
      <w:start w:val="1"/>
      <w:numFmt w:val="decimal"/>
      <w:lvlText w:val="%6."/>
      <w:lvlJc w:val="left"/>
      <w:pPr>
        <w:ind w:left="720" w:hanging="360"/>
      </w:pPr>
    </w:lvl>
    <w:lvl w:ilvl="6" w:tplc="C87CB924">
      <w:start w:val="1"/>
      <w:numFmt w:val="decimal"/>
      <w:lvlText w:val="%7."/>
      <w:lvlJc w:val="left"/>
      <w:pPr>
        <w:ind w:left="720" w:hanging="360"/>
      </w:pPr>
    </w:lvl>
    <w:lvl w:ilvl="7" w:tplc="1592E6EA">
      <w:start w:val="1"/>
      <w:numFmt w:val="decimal"/>
      <w:lvlText w:val="%8."/>
      <w:lvlJc w:val="left"/>
      <w:pPr>
        <w:ind w:left="720" w:hanging="360"/>
      </w:pPr>
    </w:lvl>
    <w:lvl w:ilvl="8" w:tplc="5352DFA2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108919AB"/>
    <w:multiLevelType w:val="multilevel"/>
    <w:tmpl w:val="F9442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FA7C46"/>
    <w:multiLevelType w:val="hybridMultilevel"/>
    <w:tmpl w:val="C03C573A"/>
    <w:lvl w:ilvl="0" w:tplc="9DA6678A">
      <w:start w:val="1"/>
      <w:numFmt w:val="decimal"/>
      <w:lvlText w:val="%1)"/>
      <w:lvlJc w:val="left"/>
      <w:pPr>
        <w:ind w:left="720" w:hanging="360"/>
      </w:pPr>
    </w:lvl>
    <w:lvl w:ilvl="1" w:tplc="78A2406E">
      <w:start w:val="1"/>
      <w:numFmt w:val="decimal"/>
      <w:lvlText w:val="%2)"/>
      <w:lvlJc w:val="left"/>
      <w:pPr>
        <w:ind w:left="720" w:hanging="360"/>
      </w:pPr>
    </w:lvl>
    <w:lvl w:ilvl="2" w:tplc="4EEE8BB2">
      <w:start w:val="1"/>
      <w:numFmt w:val="decimal"/>
      <w:lvlText w:val="%3)"/>
      <w:lvlJc w:val="left"/>
      <w:pPr>
        <w:ind w:left="720" w:hanging="360"/>
      </w:pPr>
    </w:lvl>
    <w:lvl w:ilvl="3" w:tplc="BB3EB6E4">
      <w:start w:val="1"/>
      <w:numFmt w:val="decimal"/>
      <w:lvlText w:val="%4)"/>
      <w:lvlJc w:val="left"/>
      <w:pPr>
        <w:ind w:left="720" w:hanging="360"/>
      </w:pPr>
    </w:lvl>
    <w:lvl w:ilvl="4" w:tplc="E37214C8">
      <w:start w:val="1"/>
      <w:numFmt w:val="decimal"/>
      <w:lvlText w:val="%5)"/>
      <w:lvlJc w:val="left"/>
      <w:pPr>
        <w:ind w:left="720" w:hanging="360"/>
      </w:pPr>
    </w:lvl>
    <w:lvl w:ilvl="5" w:tplc="BE0C63A8">
      <w:start w:val="1"/>
      <w:numFmt w:val="decimal"/>
      <w:lvlText w:val="%6)"/>
      <w:lvlJc w:val="left"/>
      <w:pPr>
        <w:ind w:left="720" w:hanging="360"/>
      </w:pPr>
    </w:lvl>
    <w:lvl w:ilvl="6" w:tplc="8B92E92A">
      <w:start w:val="1"/>
      <w:numFmt w:val="decimal"/>
      <w:lvlText w:val="%7)"/>
      <w:lvlJc w:val="left"/>
      <w:pPr>
        <w:ind w:left="720" w:hanging="360"/>
      </w:pPr>
    </w:lvl>
    <w:lvl w:ilvl="7" w:tplc="B7DE473E">
      <w:start w:val="1"/>
      <w:numFmt w:val="decimal"/>
      <w:lvlText w:val="%8)"/>
      <w:lvlJc w:val="left"/>
      <w:pPr>
        <w:ind w:left="720" w:hanging="360"/>
      </w:pPr>
    </w:lvl>
    <w:lvl w:ilvl="8" w:tplc="A15262C2">
      <w:start w:val="1"/>
      <w:numFmt w:val="decimal"/>
      <w:lvlText w:val="%9)"/>
      <w:lvlJc w:val="left"/>
      <w:pPr>
        <w:ind w:left="720" w:hanging="360"/>
      </w:pPr>
    </w:lvl>
  </w:abstractNum>
  <w:abstractNum w:abstractNumId="3" w15:restartNumberingAfterBreak="0">
    <w:nsid w:val="163C396B"/>
    <w:multiLevelType w:val="multilevel"/>
    <w:tmpl w:val="F9442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4D6B0F"/>
    <w:multiLevelType w:val="multilevel"/>
    <w:tmpl w:val="DA6A9FF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153DD7"/>
    <w:multiLevelType w:val="multilevel"/>
    <w:tmpl w:val="3BAA47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551567B"/>
    <w:multiLevelType w:val="multilevel"/>
    <w:tmpl w:val="C6C63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F60EFC"/>
    <w:multiLevelType w:val="multilevel"/>
    <w:tmpl w:val="F9442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497842"/>
    <w:multiLevelType w:val="multilevel"/>
    <w:tmpl w:val="8B908C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7CD0E8A"/>
    <w:multiLevelType w:val="multilevel"/>
    <w:tmpl w:val="F56CF982"/>
    <w:lvl w:ilvl="0">
      <w:start w:val="1"/>
      <w:numFmt w:val="upperRoman"/>
      <w:pStyle w:val="07TabelewypunktowaniepodstRaportWS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2B628C"/>
    <w:multiLevelType w:val="multilevel"/>
    <w:tmpl w:val="F9442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8304F6"/>
    <w:multiLevelType w:val="multilevel"/>
    <w:tmpl w:val="F9442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6137F9"/>
    <w:multiLevelType w:val="multilevel"/>
    <w:tmpl w:val="298AF9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11746D3"/>
    <w:multiLevelType w:val="hybridMultilevel"/>
    <w:tmpl w:val="B794375C"/>
    <w:lvl w:ilvl="0" w:tplc="138094A2">
      <w:start w:val="1"/>
      <w:numFmt w:val="decimal"/>
      <w:lvlText w:val="%1."/>
      <w:lvlJc w:val="left"/>
      <w:pPr>
        <w:ind w:left="720" w:hanging="360"/>
      </w:pPr>
    </w:lvl>
    <w:lvl w:ilvl="1" w:tplc="813C3C0E">
      <w:start w:val="1"/>
      <w:numFmt w:val="decimal"/>
      <w:lvlText w:val="%2."/>
      <w:lvlJc w:val="left"/>
      <w:pPr>
        <w:ind w:left="720" w:hanging="360"/>
      </w:pPr>
    </w:lvl>
    <w:lvl w:ilvl="2" w:tplc="56D6B5A0">
      <w:start w:val="1"/>
      <w:numFmt w:val="decimal"/>
      <w:lvlText w:val="%3."/>
      <w:lvlJc w:val="left"/>
      <w:pPr>
        <w:ind w:left="720" w:hanging="360"/>
      </w:pPr>
    </w:lvl>
    <w:lvl w:ilvl="3" w:tplc="393E4D0E">
      <w:start w:val="1"/>
      <w:numFmt w:val="decimal"/>
      <w:lvlText w:val="%4."/>
      <w:lvlJc w:val="left"/>
      <w:pPr>
        <w:ind w:left="720" w:hanging="360"/>
      </w:pPr>
    </w:lvl>
    <w:lvl w:ilvl="4" w:tplc="93D25A8C">
      <w:start w:val="1"/>
      <w:numFmt w:val="decimal"/>
      <w:lvlText w:val="%5."/>
      <w:lvlJc w:val="left"/>
      <w:pPr>
        <w:ind w:left="720" w:hanging="360"/>
      </w:pPr>
    </w:lvl>
    <w:lvl w:ilvl="5" w:tplc="0ECE33D6">
      <w:start w:val="1"/>
      <w:numFmt w:val="decimal"/>
      <w:lvlText w:val="%6."/>
      <w:lvlJc w:val="left"/>
      <w:pPr>
        <w:ind w:left="720" w:hanging="360"/>
      </w:pPr>
    </w:lvl>
    <w:lvl w:ilvl="6" w:tplc="08888B82">
      <w:start w:val="1"/>
      <w:numFmt w:val="decimal"/>
      <w:lvlText w:val="%7."/>
      <w:lvlJc w:val="left"/>
      <w:pPr>
        <w:ind w:left="720" w:hanging="360"/>
      </w:pPr>
    </w:lvl>
    <w:lvl w:ilvl="7" w:tplc="7A9E9A36">
      <w:start w:val="1"/>
      <w:numFmt w:val="decimal"/>
      <w:lvlText w:val="%8."/>
      <w:lvlJc w:val="left"/>
      <w:pPr>
        <w:ind w:left="720" w:hanging="360"/>
      </w:pPr>
    </w:lvl>
    <w:lvl w:ilvl="8" w:tplc="8B1C4FB2">
      <w:start w:val="1"/>
      <w:numFmt w:val="decimal"/>
      <w:lvlText w:val="%9."/>
      <w:lvlJc w:val="left"/>
      <w:pPr>
        <w:ind w:left="720" w:hanging="360"/>
      </w:pPr>
    </w:lvl>
  </w:abstractNum>
  <w:abstractNum w:abstractNumId="14" w15:restartNumberingAfterBreak="0">
    <w:nsid w:val="52C04F28"/>
    <w:multiLevelType w:val="multilevel"/>
    <w:tmpl w:val="7EA895D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5" w15:restartNumberingAfterBreak="0">
    <w:nsid w:val="53B05024"/>
    <w:multiLevelType w:val="multilevel"/>
    <w:tmpl w:val="8CC617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584521B4"/>
    <w:multiLevelType w:val="multilevel"/>
    <w:tmpl w:val="679C5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EA93B36"/>
    <w:multiLevelType w:val="multilevel"/>
    <w:tmpl w:val="0BF2AE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436929"/>
    <w:multiLevelType w:val="multilevel"/>
    <w:tmpl w:val="1D3AC10C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63EF270A"/>
    <w:multiLevelType w:val="multilevel"/>
    <w:tmpl w:val="A4249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1D7F4C"/>
    <w:multiLevelType w:val="multilevel"/>
    <w:tmpl w:val="F9442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423EA4"/>
    <w:multiLevelType w:val="multilevel"/>
    <w:tmpl w:val="96AA94D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76087436"/>
    <w:multiLevelType w:val="multilevel"/>
    <w:tmpl w:val="92FC44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64059F3"/>
    <w:multiLevelType w:val="hybridMultilevel"/>
    <w:tmpl w:val="04C67458"/>
    <w:lvl w:ilvl="0" w:tplc="CB32B926">
      <w:start w:val="1"/>
      <w:numFmt w:val="decimal"/>
      <w:lvlText w:val="%1)"/>
      <w:lvlJc w:val="left"/>
      <w:pPr>
        <w:ind w:left="720" w:hanging="360"/>
      </w:pPr>
    </w:lvl>
    <w:lvl w:ilvl="1" w:tplc="685E584E">
      <w:start w:val="1"/>
      <w:numFmt w:val="decimal"/>
      <w:lvlText w:val="%2)"/>
      <w:lvlJc w:val="left"/>
      <w:pPr>
        <w:ind w:left="720" w:hanging="360"/>
      </w:pPr>
    </w:lvl>
    <w:lvl w:ilvl="2" w:tplc="438E1D06">
      <w:start w:val="1"/>
      <w:numFmt w:val="decimal"/>
      <w:lvlText w:val="%3)"/>
      <w:lvlJc w:val="left"/>
      <w:pPr>
        <w:ind w:left="720" w:hanging="360"/>
      </w:pPr>
    </w:lvl>
    <w:lvl w:ilvl="3" w:tplc="E2E40020">
      <w:start w:val="1"/>
      <w:numFmt w:val="decimal"/>
      <w:lvlText w:val="%4)"/>
      <w:lvlJc w:val="left"/>
      <w:pPr>
        <w:ind w:left="720" w:hanging="360"/>
      </w:pPr>
    </w:lvl>
    <w:lvl w:ilvl="4" w:tplc="2B582646">
      <w:start w:val="1"/>
      <w:numFmt w:val="decimal"/>
      <w:lvlText w:val="%5)"/>
      <w:lvlJc w:val="left"/>
      <w:pPr>
        <w:ind w:left="720" w:hanging="360"/>
      </w:pPr>
    </w:lvl>
    <w:lvl w:ilvl="5" w:tplc="93DAA070">
      <w:start w:val="1"/>
      <w:numFmt w:val="decimal"/>
      <w:lvlText w:val="%6)"/>
      <w:lvlJc w:val="left"/>
      <w:pPr>
        <w:ind w:left="720" w:hanging="360"/>
      </w:pPr>
    </w:lvl>
    <w:lvl w:ilvl="6" w:tplc="4FDE7E2A">
      <w:start w:val="1"/>
      <w:numFmt w:val="decimal"/>
      <w:lvlText w:val="%7)"/>
      <w:lvlJc w:val="left"/>
      <w:pPr>
        <w:ind w:left="720" w:hanging="360"/>
      </w:pPr>
    </w:lvl>
    <w:lvl w:ilvl="7" w:tplc="AF04D490">
      <w:start w:val="1"/>
      <w:numFmt w:val="decimal"/>
      <w:lvlText w:val="%8)"/>
      <w:lvlJc w:val="left"/>
      <w:pPr>
        <w:ind w:left="720" w:hanging="360"/>
      </w:pPr>
    </w:lvl>
    <w:lvl w:ilvl="8" w:tplc="44BA201A">
      <w:start w:val="1"/>
      <w:numFmt w:val="decimal"/>
      <w:lvlText w:val="%9)"/>
      <w:lvlJc w:val="left"/>
      <w:pPr>
        <w:ind w:left="720" w:hanging="360"/>
      </w:pPr>
    </w:lvl>
  </w:abstractNum>
  <w:abstractNum w:abstractNumId="24" w15:restartNumberingAfterBreak="0">
    <w:nsid w:val="786A586D"/>
    <w:multiLevelType w:val="multilevel"/>
    <w:tmpl w:val="F9442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00748678">
    <w:abstractNumId w:val="21"/>
  </w:num>
  <w:num w:numId="2" w16cid:durableId="2040618020">
    <w:abstractNumId w:val="9"/>
  </w:num>
  <w:num w:numId="3" w16cid:durableId="686716129">
    <w:abstractNumId w:val="12"/>
  </w:num>
  <w:num w:numId="4" w16cid:durableId="253249475">
    <w:abstractNumId w:val="19"/>
  </w:num>
  <w:num w:numId="5" w16cid:durableId="1764375831">
    <w:abstractNumId w:val="5"/>
  </w:num>
  <w:num w:numId="6" w16cid:durableId="946540427">
    <w:abstractNumId w:val="7"/>
  </w:num>
  <w:num w:numId="7" w16cid:durableId="958299290">
    <w:abstractNumId w:val="15"/>
  </w:num>
  <w:num w:numId="8" w16cid:durableId="222836899">
    <w:abstractNumId w:val="16"/>
  </w:num>
  <w:num w:numId="9" w16cid:durableId="80033882">
    <w:abstractNumId w:val="8"/>
  </w:num>
  <w:num w:numId="10" w16cid:durableId="2132361387">
    <w:abstractNumId w:val="17"/>
  </w:num>
  <w:num w:numId="11" w16cid:durableId="179861361">
    <w:abstractNumId w:val="14"/>
  </w:num>
  <w:num w:numId="12" w16cid:durableId="698354250">
    <w:abstractNumId w:val="6"/>
  </w:num>
  <w:num w:numId="13" w16cid:durableId="2082561004">
    <w:abstractNumId w:val="13"/>
  </w:num>
  <w:num w:numId="14" w16cid:durableId="34238049">
    <w:abstractNumId w:val="23"/>
  </w:num>
  <w:num w:numId="15" w16cid:durableId="1721780322">
    <w:abstractNumId w:val="0"/>
  </w:num>
  <w:num w:numId="16" w16cid:durableId="399062718">
    <w:abstractNumId w:val="2"/>
  </w:num>
  <w:num w:numId="17" w16cid:durableId="1250895352">
    <w:abstractNumId w:val="4"/>
  </w:num>
  <w:num w:numId="18" w16cid:durableId="572080852">
    <w:abstractNumId w:val="18"/>
  </w:num>
  <w:num w:numId="19" w16cid:durableId="287855829">
    <w:abstractNumId w:val="22"/>
  </w:num>
  <w:num w:numId="20" w16cid:durableId="1844591381">
    <w:abstractNumId w:val="1"/>
  </w:num>
  <w:num w:numId="21" w16cid:durableId="1487623210">
    <w:abstractNumId w:val="20"/>
  </w:num>
  <w:num w:numId="22" w16cid:durableId="2057778037">
    <w:abstractNumId w:val="3"/>
  </w:num>
  <w:num w:numId="23" w16cid:durableId="225460615">
    <w:abstractNumId w:val="11"/>
  </w:num>
  <w:num w:numId="24" w16cid:durableId="605114961">
    <w:abstractNumId w:val="24"/>
  </w:num>
  <w:num w:numId="25" w16cid:durableId="1851140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34"/>
    <w:rsid w:val="00040B22"/>
    <w:rsid w:val="00056746"/>
    <w:rsid w:val="00086D39"/>
    <w:rsid w:val="000A38A9"/>
    <w:rsid w:val="000B0362"/>
    <w:rsid w:val="000B03C2"/>
    <w:rsid w:val="000B0AF7"/>
    <w:rsid w:val="000B5C23"/>
    <w:rsid w:val="000C1CAA"/>
    <w:rsid w:val="000C71CC"/>
    <w:rsid w:val="000D59F2"/>
    <w:rsid w:val="000F6C55"/>
    <w:rsid w:val="00101CE3"/>
    <w:rsid w:val="00114AE7"/>
    <w:rsid w:val="00120998"/>
    <w:rsid w:val="001218EA"/>
    <w:rsid w:val="0013463C"/>
    <w:rsid w:val="00136F9E"/>
    <w:rsid w:val="00140FC5"/>
    <w:rsid w:val="00145C05"/>
    <w:rsid w:val="00163103"/>
    <w:rsid w:val="00165D50"/>
    <w:rsid w:val="00171C89"/>
    <w:rsid w:val="00184A9A"/>
    <w:rsid w:val="001A6472"/>
    <w:rsid w:val="001B7980"/>
    <w:rsid w:val="001D38C1"/>
    <w:rsid w:val="001E3E45"/>
    <w:rsid w:val="00212B08"/>
    <w:rsid w:val="00215B8D"/>
    <w:rsid w:val="0021726B"/>
    <w:rsid w:val="002176EC"/>
    <w:rsid w:val="00220CA9"/>
    <w:rsid w:val="0024095A"/>
    <w:rsid w:val="00247902"/>
    <w:rsid w:val="002515EB"/>
    <w:rsid w:val="002837D4"/>
    <w:rsid w:val="00291981"/>
    <w:rsid w:val="002B2A13"/>
    <w:rsid w:val="002C4193"/>
    <w:rsid w:val="002C551D"/>
    <w:rsid w:val="002D438D"/>
    <w:rsid w:val="002E08BF"/>
    <w:rsid w:val="002F0772"/>
    <w:rsid w:val="00306CF3"/>
    <w:rsid w:val="003129EA"/>
    <w:rsid w:val="00323BA5"/>
    <w:rsid w:val="00342CDA"/>
    <w:rsid w:val="0034440D"/>
    <w:rsid w:val="00346B1C"/>
    <w:rsid w:val="0034701F"/>
    <w:rsid w:val="00354BC7"/>
    <w:rsid w:val="003658FC"/>
    <w:rsid w:val="00384D75"/>
    <w:rsid w:val="00387E52"/>
    <w:rsid w:val="003930D2"/>
    <w:rsid w:val="0039608A"/>
    <w:rsid w:val="003A23C5"/>
    <w:rsid w:val="003A32FA"/>
    <w:rsid w:val="003C1827"/>
    <w:rsid w:val="004101E8"/>
    <w:rsid w:val="00410D60"/>
    <w:rsid w:val="00414E6A"/>
    <w:rsid w:val="0042153A"/>
    <w:rsid w:val="00433E28"/>
    <w:rsid w:val="00435FDD"/>
    <w:rsid w:val="00445063"/>
    <w:rsid w:val="00455872"/>
    <w:rsid w:val="004755AF"/>
    <w:rsid w:val="00490081"/>
    <w:rsid w:val="0049225A"/>
    <w:rsid w:val="004A301B"/>
    <w:rsid w:val="004A67FF"/>
    <w:rsid w:val="004C056F"/>
    <w:rsid w:val="004C327A"/>
    <w:rsid w:val="004C6F04"/>
    <w:rsid w:val="004E21DB"/>
    <w:rsid w:val="005026B6"/>
    <w:rsid w:val="0054345A"/>
    <w:rsid w:val="005543F5"/>
    <w:rsid w:val="0056448A"/>
    <w:rsid w:val="005A08C9"/>
    <w:rsid w:val="005A6E6F"/>
    <w:rsid w:val="005C60C3"/>
    <w:rsid w:val="005D06A0"/>
    <w:rsid w:val="005D60F6"/>
    <w:rsid w:val="005E15CA"/>
    <w:rsid w:val="00601FEF"/>
    <w:rsid w:val="00615BC0"/>
    <w:rsid w:val="006318B7"/>
    <w:rsid w:val="00632A72"/>
    <w:rsid w:val="006353F9"/>
    <w:rsid w:val="00640EA2"/>
    <w:rsid w:val="006448F3"/>
    <w:rsid w:val="006502AB"/>
    <w:rsid w:val="00660276"/>
    <w:rsid w:val="00666CEE"/>
    <w:rsid w:val="00666DEB"/>
    <w:rsid w:val="00674044"/>
    <w:rsid w:val="00676297"/>
    <w:rsid w:val="00683C34"/>
    <w:rsid w:val="00691190"/>
    <w:rsid w:val="006920C4"/>
    <w:rsid w:val="00696B9D"/>
    <w:rsid w:val="006973A7"/>
    <w:rsid w:val="006A3D74"/>
    <w:rsid w:val="006A3EC8"/>
    <w:rsid w:val="006C4C4E"/>
    <w:rsid w:val="006C4C8D"/>
    <w:rsid w:val="006E1378"/>
    <w:rsid w:val="00724193"/>
    <w:rsid w:val="00744AD2"/>
    <w:rsid w:val="0075089A"/>
    <w:rsid w:val="007566D6"/>
    <w:rsid w:val="0075735D"/>
    <w:rsid w:val="0077747C"/>
    <w:rsid w:val="007A4737"/>
    <w:rsid w:val="007B5EC4"/>
    <w:rsid w:val="007B6F49"/>
    <w:rsid w:val="007B7EC8"/>
    <w:rsid w:val="007C05EA"/>
    <w:rsid w:val="007E544D"/>
    <w:rsid w:val="007F5B3C"/>
    <w:rsid w:val="008006FD"/>
    <w:rsid w:val="00807717"/>
    <w:rsid w:val="00846FF4"/>
    <w:rsid w:val="00851FDC"/>
    <w:rsid w:val="0087445E"/>
    <w:rsid w:val="00892AD5"/>
    <w:rsid w:val="00897B50"/>
    <w:rsid w:val="008A309B"/>
    <w:rsid w:val="008B69E4"/>
    <w:rsid w:val="008C4362"/>
    <w:rsid w:val="008D2E55"/>
    <w:rsid w:val="008D6FD7"/>
    <w:rsid w:val="008F592B"/>
    <w:rsid w:val="008F6F8F"/>
    <w:rsid w:val="0091491B"/>
    <w:rsid w:val="00917695"/>
    <w:rsid w:val="0092674E"/>
    <w:rsid w:val="00934C64"/>
    <w:rsid w:val="009452EB"/>
    <w:rsid w:val="009454AD"/>
    <w:rsid w:val="00980322"/>
    <w:rsid w:val="00981248"/>
    <w:rsid w:val="0098752D"/>
    <w:rsid w:val="00990EB8"/>
    <w:rsid w:val="0099502C"/>
    <w:rsid w:val="009A574C"/>
    <w:rsid w:val="009A7921"/>
    <w:rsid w:val="009B100A"/>
    <w:rsid w:val="009B76D0"/>
    <w:rsid w:val="009D4B82"/>
    <w:rsid w:val="009D4C96"/>
    <w:rsid w:val="009E5D9D"/>
    <w:rsid w:val="009F1020"/>
    <w:rsid w:val="00A0727E"/>
    <w:rsid w:val="00A278AF"/>
    <w:rsid w:val="00A27E3C"/>
    <w:rsid w:val="00A52D38"/>
    <w:rsid w:val="00A8217A"/>
    <w:rsid w:val="00AA11F2"/>
    <w:rsid w:val="00AA2512"/>
    <w:rsid w:val="00AB5D8C"/>
    <w:rsid w:val="00AC1E14"/>
    <w:rsid w:val="00AC4302"/>
    <w:rsid w:val="00AC5F00"/>
    <w:rsid w:val="00AD268D"/>
    <w:rsid w:val="00AF1356"/>
    <w:rsid w:val="00AF5CB8"/>
    <w:rsid w:val="00B0284C"/>
    <w:rsid w:val="00B121D4"/>
    <w:rsid w:val="00B2440D"/>
    <w:rsid w:val="00B24EE4"/>
    <w:rsid w:val="00B2522E"/>
    <w:rsid w:val="00B321DA"/>
    <w:rsid w:val="00B33814"/>
    <w:rsid w:val="00B834A5"/>
    <w:rsid w:val="00B877E6"/>
    <w:rsid w:val="00B91F11"/>
    <w:rsid w:val="00B94A6A"/>
    <w:rsid w:val="00B96D20"/>
    <w:rsid w:val="00BB30B5"/>
    <w:rsid w:val="00BD3BC2"/>
    <w:rsid w:val="00C13EF0"/>
    <w:rsid w:val="00C24292"/>
    <w:rsid w:val="00C26F23"/>
    <w:rsid w:val="00C34BDD"/>
    <w:rsid w:val="00C35E0D"/>
    <w:rsid w:val="00C90877"/>
    <w:rsid w:val="00C91221"/>
    <w:rsid w:val="00C96636"/>
    <w:rsid w:val="00CA47F2"/>
    <w:rsid w:val="00CA493A"/>
    <w:rsid w:val="00CB34A5"/>
    <w:rsid w:val="00CD2764"/>
    <w:rsid w:val="00CF2003"/>
    <w:rsid w:val="00D00D09"/>
    <w:rsid w:val="00D14D6D"/>
    <w:rsid w:val="00D37D31"/>
    <w:rsid w:val="00D40087"/>
    <w:rsid w:val="00D45346"/>
    <w:rsid w:val="00D55FBF"/>
    <w:rsid w:val="00D6072E"/>
    <w:rsid w:val="00D614B2"/>
    <w:rsid w:val="00D63891"/>
    <w:rsid w:val="00D66863"/>
    <w:rsid w:val="00D67E20"/>
    <w:rsid w:val="00D70737"/>
    <w:rsid w:val="00D7394E"/>
    <w:rsid w:val="00D77059"/>
    <w:rsid w:val="00D87D33"/>
    <w:rsid w:val="00D9643A"/>
    <w:rsid w:val="00DB3E6D"/>
    <w:rsid w:val="00DB62C2"/>
    <w:rsid w:val="00DC123E"/>
    <w:rsid w:val="00DF7A85"/>
    <w:rsid w:val="00E2598B"/>
    <w:rsid w:val="00E52CCF"/>
    <w:rsid w:val="00E54E0D"/>
    <w:rsid w:val="00E70049"/>
    <w:rsid w:val="00E735E3"/>
    <w:rsid w:val="00E7488B"/>
    <w:rsid w:val="00E95958"/>
    <w:rsid w:val="00EA5250"/>
    <w:rsid w:val="00EA6CB1"/>
    <w:rsid w:val="00EB041D"/>
    <w:rsid w:val="00EB3C5E"/>
    <w:rsid w:val="00EC29AB"/>
    <w:rsid w:val="00EC7FE1"/>
    <w:rsid w:val="00ED12BA"/>
    <w:rsid w:val="00ED4A27"/>
    <w:rsid w:val="00EE0670"/>
    <w:rsid w:val="00EE112B"/>
    <w:rsid w:val="00EF417B"/>
    <w:rsid w:val="00F101C6"/>
    <w:rsid w:val="00F138BB"/>
    <w:rsid w:val="00F17555"/>
    <w:rsid w:val="00F23E24"/>
    <w:rsid w:val="00F23EA9"/>
    <w:rsid w:val="00F25A0E"/>
    <w:rsid w:val="00F64EE9"/>
    <w:rsid w:val="00F729C7"/>
    <w:rsid w:val="00F808DA"/>
    <w:rsid w:val="00FA0644"/>
    <w:rsid w:val="00FA5651"/>
    <w:rsid w:val="00FC2AAA"/>
    <w:rsid w:val="00FC3738"/>
    <w:rsid w:val="00FC3B47"/>
    <w:rsid w:val="00FC7771"/>
    <w:rsid w:val="00FE610B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9970"/>
  <w15:docId w15:val="{6837D763-C673-45F1-BC01-957B76F0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01A26"/>
    <w:pPr>
      <w:ind w:left="720"/>
      <w:contextualSpacing/>
    </w:pPr>
  </w:style>
  <w:style w:type="table" w:styleId="Tabela-Siatka">
    <w:name w:val="Table Grid"/>
    <w:basedOn w:val="Standardowy"/>
    <w:uiPriority w:val="39"/>
    <w:rsid w:val="00480A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TabeletxtpodstRaportWS">
    <w:name w:val="06_Tabele_txt_podst_Raport_WS"/>
    <w:basedOn w:val="Tekstkomentarza"/>
    <w:link w:val="06TabeletxtpodstRaportWSZnak"/>
    <w:qFormat/>
    <w:rsid w:val="00480A64"/>
    <w:pPr>
      <w:tabs>
        <w:tab w:val="left" w:pos="851"/>
      </w:tabs>
      <w:spacing w:before="40" w:after="40"/>
      <w:jc w:val="both"/>
    </w:pPr>
    <w:rPr>
      <w:rFonts w:ascii="Arial" w:hAnsi="Arial" w:cs="Times New Roman"/>
      <w:sz w:val="16"/>
      <w:szCs w:val="16"/>
    </w:rPr>
  </w:style>
  <w:style w:type="character" w:customStyle="1" w:styleId="06TabeletxtpodstRaportWSZnak">
    <w:name w:val="06_Tabele_txt_podst_Raport_WS Znak"/>
    <w:link w:val="06TabeletxtpodstRaportWS"/>
    <w:locked/>
    <w:rsid w:val="00480A64"/>
    <w:rPr>
      <w:rFonts w:ascii="Arial" w:eastAsia="Calibri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0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0A64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864C7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07TabelewypunktowaniepodstRaportWS">
    <w:name w:val="07_Tabele_wypunktowanie_podst_Raport_WS"/>
    <w:basedOn w:val="06TabeletxtpodstRaportWS"/>
    <w:link w:val="07TabelewypunktowaniepodstRaportWSZnak"/>
    <w:qFormat/>
    <w:rsid w:val="00864C74"/>
    <w:pPr>
      <w:numPr>
        <w:numId w:val="2"/>
      </w:numPr>
      <w:tabs>
        <w:tab w:val="clear" w:pos="851"/>
        <w:tab w:val="left" w:pos="193"/>
      </w:tabs>
      <w:jc w:val="left"/>
    </w:pPr>
  </w:style>
  <w:style w:type="character" w:customStyle="1" w:styleId="07TabelewypunktowaniepodstRaportWSZnak">
    <w:name w:val="07_Tabele_wypunktowanie_podst_Raport_WS Znak"/>
    <w:basedOn w:val="06TabeletxtpodstRaportWSZnak"/>
    <w:link w:val="07TabelewypunktowaniepodstRaportWS"/>
    <w:rsid w:val="00864C74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04TabelepodpisRaportWS">
    <w:name w:val="04_Tabele_podpis_Raport_WS"/>
    <w:basedOn w:val="Legenda"/>
    <w:link w:val="04TabelepodpisRaportWSZnak"/>
    <w:qFormat/>
    <w:rsid w:val="00CB791E"/>
    <w:pPr>
      <w:keepNext/>
      <w:tabs>
        <w:tab w:val="left" w:pos="851"/>
      </w:tabs>
      <w:spacing w:before="240" w:after="60"/>
    </w:pPr>
    <w:rPr>
      <w:rFonts w:ascii="Arial" w:hAnsi="Arial" w:cs="Times New Roman"/>
      <w:b/>
      <w:bCs/>
      <w:i w:val="0"/>
      <w:iCs w:val="0"/>
      <w:color w:val="auto"/>
      <w:szCs w:val="20"/>
    </w:rPr>
  </w:style>
  <w:style w:type="character" w:customStyle="1" w:styleId="04TabelepodpisRaportWSZnak">
    <w:name w:val="04_Tabele_podpis_Raport_WS Znak"/>
    <w:link w:val="04TabelepodpisRaportWS"/>
    <w:locked/>
    <w:rsid w:val="00CB791E"/>
    <w:rPr>
      <w:rFonts w:ascii="Arial" w:eastAsia="Calibri" w:hAnsi="Arial" w:cs="Times New Roman"/>
      <w:b/>
      <w:bCs/>
      <w:sz w:val="1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5D6"/>
  </w:style>
  <w:style w:type="paragraph" w:styleId="Stopka">
    <w:name w:val="footer"/>
    <w:basedOn w:val="Normalny"/>
    <w:link w:val="StopkaZnak"/>
    <w:uiPriority w:val="99"/>
    <w:unhideWhenUsed/>
    <w:rsid w:val="00367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5D6"/>
  </w:style>
  <w:style w:type="paragraph" w:styleId="Tekstdymka">
    <w:name w:val="Balloon Text"/>
    <w:basedOn w:val="Normalny"/>
    <w:link w:val="TekstdymkaZnak"/>
    <w:uiPriority w:val="99"/>
    <w:semiHidden/>
    <w:unhideWhenUsed/>
    <w:rsid w:val="0094455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5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5E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5E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601FEF"/>
  </w:style>
  <w:style w:type="character" w:customStyle="1" w:styleId="cf01">
    <w:name w:val="cf01"/>
    <w:basedOn w:val="Domylnaczcionkaakapitu"/>
    <w:rsid w:val="003A23C5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03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avvoaK83lYe0IYTkVXDOduetjg==">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E9851B-CD3E-4EA7-9D4D-F7255A59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3384</Words>
  <Characters>20310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pakietu Microsoft Office</dc:creator>
  <cp:lastModifiedBy>Teleon Adela</cp:lastModifiedBy>
  <cp:revision>2</cp:revision>
  <dcterms:created xsi:type="dcterms:W3CDTF">2023-08-14T10:21:00Z</dcterms:created>
  <dcterms:modified xsi:type="dcterms:W3CDTF">2023-08-14T10:21:00Z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b8302253fb81360adc68ab2c415cc639396b666698c9acc61abf2be2cf79f768</vt:lpwstr>
  </property>
</Properties>
</file>