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644"/>
        <w:gridCol w:w="886"/>
        <w:gridCol w:w="219"/>
        <w:gridCol w:w="193"/>
        <w:gridCol w:w="155"/>
        <w:gridCol w:w="187"/>
        <w:gridCol w:w="382"/>
        <w:gridCol w:w="568"/>
        <w:gridCol w:w="268"/>
        <w:gridCol w:w="85"/>
        <w:gridCol w:w="214"/>
        <w:gridCol w:w="368"/>
        <w:gridCol w:w="200"/>
        <w:gridCol w:w="568"/>
        <w:gridCol w:w="80"/>
        <w:gridCol w:w="87"/>
        <w:gridCol w:w="401"/>
        <w:gridCol w:w="113"/>
        <w:gridCol w:w="88"/>
        <w:gridCol w:w="367"/>
        <w:gridCol w:w="568"/>
        <w:gridCol w:w="367"/>
        <w:gridCol w:w="201"/>
        <w:gridCol w:w="568"/>
        <w:gridCol w:w="165"/>
        <w:gridCol w:w="1416"/>
      </w:tblGrid>
      <w:tr w:rsidR="006A701A" w:rsidRPr="008B4FE6" w14:paraId="4C75B617" w14:textId="77777777" w:rsidTr="0090438E">
        <w:trPr>
          <w:trHeight w:val="1611"/>
          <w:jc w:val="center"/>
        </w:trPr>
        <w:tc>
          <w:tcPr>
            <w:tcW w:w="6631" w:type="dxa"/>
            <w:gridSpan w:val="16"/>
          </w:tcPr>
          <w:p w14:paraId="1676A2DE" w14:textId="77777777" w:rsidR="006A701A" w:rsidRPr="008B4FE6" w:rsidRDefault="006A701A" w:rsidP="00725F27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ECDA5F0" w14:textId="453BA06D" w:rsidR="00B2664D" w:rsidRDefault="00B2664D" w:rsidP="0090438E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</w:t>
            </w:r>
            <w:r w:rsidRPr="00B2664D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0E7089" w:rsidRPr="000E7089">
              <w:rPr>
                <w:rFonts w:ascii="Times New Roman" w:hAnsi="Times New Roman"/>
                <w:color w:val="000000"/>
              </w:rPr>
              <w:t xml:space="preserve">zmieniające rozporządzenie w sprawie </w:t>
            </w:r>
            <w:r w:rsidR="00F9172C">
              <w:rPr>
                <w:rFonts w:ascii="Times New Roman" w:hAnsi="Times New Roman"/>
                <w:color w:val="000000"/>
              </w:rPr>
              <w:t xml:space="preserve">regulaminu </w:t>
            </w:r>
            <w:r w:rsidR="000E7089" w:rsidRPr="000E7089">
              <w:rPr>
                <w:rFonts w:ascii="Times New Roman" w:hAnsi="Times New Roman"/>
                <w:color w:val="000000"/>
              </w:rPr>
              <w:t xml:space="preserve">Naczelnej Komisji Bioetycznej do spraw Badań Klinicznych </w:t>
            </w:r>
            <w:r w:rsidRPr="00B2664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636D191" w14:textId="2FB506AB" w:rsidR="006A701A" w:rsidRPr="008B4FE6" w:rsidRDefault="006A701A" w:rsidP="0090438E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012A5A1" w14:textId="77777777" w:rsidR="00224427" w:rsidRDefault="00224427" w:rsidP="0022442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</w:t>
            </w:r>
            <w:r w:rsidR="005E1625">
              <w:rPr>
                <w:rFonts w:ascii="Times New Roman" w:hAnsi="Times New Roman"/>
                <w:color w:val="000000"/>
              </w:rPr>
              <w:t>Zdrowia</w:t>
            </w:r>
          </w:p>
          <w:p w14:paraId="4668F84A" w14:textId="77777777" w:rsidR="00224427" w:rsidRDefault="00224427" w:rsidP="00725F27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440A10D0" w14:textId="77777777" w:rsidR="0028585E" w:rsidRDefault="00DB01BF" w:rsidP="00DB01B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8585E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Stanu: </w:t>
            </w:r>
          </w:p>
          <w:p w14:paraId="5133E4E9" w14:textId="77777777" w:rsidR="00DB01BF" w:rsidRPr="0028585E" w:rsidRDefault="00DB01BF" w:rsidP="00DB01B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28585E">
              <w:rPr>
                <w:rFonts w:ascii="Times New Roman" w:hAnsi="Times New Roman"/>
                <w:bCs/>
              </w:rPr>
              <w:t>Pan Piotr Bromber</w:t>
            </w:r>
            <w:r w:rsidR="0028585E">
              <w:rPr>
                <w:rFonts w:ascii="Times New Roman" w:hAnsi="Times New Roman"/>
                <w:bCs/>
              </w:rPr>
              <w:t xml:space="preserve">, </w:t>
            </w:r>
            <w:r w:rsidRPr="0028585E">
              <w:rPr>
                <w:rFonts w:ascii="Times New Roman" w:hAnsi="Times New Roman"/>
                <w:bCs/>
              </w:rPr>
              <w:t>Podsekretarz Stanu w Ministerstwie Zdrowia</w:t>
            </w:r>
          </w:p>
          <w:p w14:paraId="4EE1A752" w14:textId="77777777" w:rsidR="00A64BCA" w:rsidRDefault="00DB01BF" w:rsidP="00DB01BF">
            <w:pPr>
              <w:spacing w:before="120" w:line="240" w:lineRule="auto"/>
              <w:ind w:hanging="45"/>
              <w:jc w:val="both"/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>
              <w:rPr>
                <w:rFonts w:ascii="Times New Roman" w:hAnsi="Times New Roman"/>
                <w:b/>
                <w:color w:val="000000"/>
              </w:rPr>
              <w:t>: .</w:t>
            </w:r>
            <w:r>
              <w:t xml:space="preserve"> </w:t>
            </w:r>
          </w:p>
          <w:p w14:paraId="022699C0" w14:textId="77777777" w:rsidR="00B2664D" w:rsidRPr="00B2664D" w:rsidRDefault="00B2664D" w:rsidP="00B2664D">
            <w:pPr>
              <w:spacing w:line="240" w:lineRule="auto"/>
              <w:ind w:left="-10"/>
              <w:rPr>
                <w:rFonts w:ascii="Times New Roman" w:hAnsi="Times New Roman"/>
                <w:bCs/>
                <w:color w:val="000000"/>
              </w:rPr>
            </w:pPr>
            <w:r w:rsidRPr="00B2664D">
              <w:rPr>
                <w:rFonts w:ascii="Times New Roman" w:hAnsi="Times New Roman"/>
                <w:bCs/>
                <w:color w:val="000000"/>
              </w:rPr>
              <w:t>Magdalena Przydatek, Zastępca dyrektora Departamentu Rozwoju Kadr Medycznych,</w:t>
            </w:r>
          </w:p>
          <w:p w14:paraId="4D82B896" w14:textId="7F9F3709" w:rsidR="00DA7B2A" w:rsidRPr="00B2664D" w:rsidRDefault="00B2664D" w:rsidP="00DA7B2A">
            <w:pPr>
              <w:spacing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2664D">
              <w:rPr>
                <w:rFonts w:ascii="Times New Roman" w:hAnsi="Times New Roman"/>
                <w:bCs/>
                <w:color w:val="000000"/>
                <w:lang w:val="en-US"/>
              </w:rPr>
              <w:t xml:space="preserve">tel.: 532 407 782, e-mail: </w:t>
            </w:r>
            <w:hyperlink r:id="rId10" w:history="1">
              <w:r w:rsidR="00DA7B2A" w:rsidRPr="009E09AE">
                <w:rPr>
                  <w:rStyle w:val="Hipercze"/>
                  <w:rFonts w:ascii="Times New Roman" w:hAnsi="Times New Roman"/>
                  <w:bCs/>
                  <w:lang w:val="en-US"/>
                </w:rPr>
                <w:t>dep-rkm@mz.gov.pl</w:t>
              </w:r>
            </w:hyperlink>
          </w:p>
        </w:tc>
        <w:tc>
          <w:tcPr>
            <w:tcW w:w="4306" w:type="dxa"/>
            <w:gridSpan w:val="11"/>
            <w:shd w:val="clear" w:color="auto" w:fill="FFFFFF"/>
          </w:tcPr>
          <w:p w14:paraId="2AF01E2C" w14:textId="7900A4A3" w:rsidR="00F76884" w:rsidRDefault="001B3460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ED5CEF">
              <w:rPr>
                <w:rFonts w:ascii="Times New Roman" w:hAnsi="Times New Roman"/>
                <w:b/>
              </w:rPr>
              <w:t>2</w:t>
            </w:r>
            <w:r w:rsidR="00FF173A">
              <w:rPr>
                <w:rFonts w:ascii="Times New Roman" w:hAnsi="Times New Roman"/>
                <w:b/>
              </w:rPr>
              <w:t>9</w:t>
            </w:r>
            <w:r w:rsidR="00ED5CEF">
              <w:rPr>
                <w:rFonts w:ascii="Times New Roman" w:hAnsi="Times New Roman"/>
                <w:b/>
              </w:rPr>
              <w:t>.</w:t>
            </w:r>
            <w:r w:rsidR="000E7089">
              <w:rPr>
                <w:rFonts w:ascii="Times New Roman" w:hAnsi="Times New Roman"/>
                <w:b/>
              </w:rPr>
              <w:t>11</w:t>
            </w:r>
            <w:r w:rsidR="00C1075B">
              <w:rPr>
                <w:rFonts w:ascii="Times New Roman" w:hAnsi="Times New Roman"/>
                <w:b/>
              </w:rPr>
              <w:t>.2023 r.</w:t>
            </w:r>
          </w:p>
          <w:p w14:paraId="58C242FE" w14:textId="77777777" w:rsidR="0036265C" w:rsidRDefault="0036265C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F90EF47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419CDE36" w14:textId="78AEAEC6" w:rsidR="00B2664D" w:rsidRPr="0084180A" w:rsidRDefault="000E7089" w:rsidP="00FF173A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0E7089">
              <w:rPr>
                <w:rFonts w:ascii="Times New Roman" w:hAnsi="Times New Roman"/>
              </w:rPr>
              <w:t>art</w:t>
            </w:r>
            <w:r w:rsidRPr="0084180A">
              <w:rPr>
                <w:rFonts w:ascii="Times New Roman" w:hAnsi="Times New Roman"/>
              </w:rPr>
              <w:t>. 17 ust. 9 ustawy z dnia 9 marca 2023 r. o</w:t>
            </w:r>
            <w:r w:rsidR="0082470F" w:rsidRPr="0084180A">
              <w:rPr>
                <w:rFonts w:ascii="Times New Roman" w:hAnsi="Times New Roman"/>
              </w:rPr>
              <w:t> </w:t>
            </w:r>
            <w:r w:rsidRPr="0084180A">
              <w:rPr>
                <w:rFonts w:ascii="Times New Roman" w:hAnsi="Times New Roman"/>
              </w:rPr>
              <w:t>badaniach klinicznych produktów leczniczych stosowanych u ludzi</w:t>
            </w:r>
            <w:r w:rsidR="008650AD" w:rsidRPr="0084180A">
              <w:t xml:space="preserve"> (</w:t>
            </w:r>
            <w:r w:rsidR="008650AD" w:rsidRPr="0084180A">
              <w:rPr>
                <w:rFonts w:ascii="Times New Roman" w:hAnsi="Times New Roman"/>
              </w:rPr>
              <w:t>Dz. </w:t>
            </w:r>
            <w:r w:rsidR="00FE1A10" w:rsidRPr="0084180A">
              <w:rPr>
                <w:rFonts w:ascii="Times New Roman" w:hAnsi="Times New Roman"/>
              </w:rPr>
              <w:t>U</w:t>
            </w:r>
            <w:r w:rsidR="008650AD" w:rsidRPr="0084180A">
              <w:rPr>
                <w:rFonts w:ascii="Times New Roman" w:hAnsi="Times New Roman"/>
              </w:rPr>
              <w:t>.</w:t>
            </w:r>
            <w:r w:rsidR="00FE1A10" w:rsidRPr="0084180A">
              <w:rPr>
                <w:rFonts w:ascii="Times New Roman" w:hAnsi="Times New Roman"/>
              </w:rPr>
              <w:t> </w:t>
            </w:r>
            <w:r w:rsidR="008650AD" w:rsidRPr="0084180A">
              <w:rPr>
                <w:rFonts w:ascii="Times New Roman" w:hAnsi="Times New Roman"/>
              </w:rPr>
              <w:t>poz. 605)</w:t>
            </w:r>
          </w:p>
          <w:p w14:paraId="189FB25B" w14:textId="483C051C" w:rsidR="00725F27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EC31F3">
              <w:rPr>
                <w:rFonts w:ascii="Times New Roman" w:hAnsi="Times New Roman"/>
                <w:b/>
                <w:color w:val="000000"/>
              </w:rPr>
              <w:t xml:space="preserve"> prac: </w:t>
            </w:r>
          </w:p>
          <w:p w14:paraId="418A0661" w14:textId="6073EBF2" w:rsidR="006A701A" w:rsidRPr="008B4FE6" w:rsidRDefault="0028585E" w:rsidP="0090438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MZ </w:t>
            </w:r>
            <w:r w:rsidR="0082470F">
              <w:rPr>
                <w:rFonts w:ascii="Times New Roman" w:hAnsi="Times New Roman"/>
                <w:color w:val="000000"/>
              </w:rPr>
              <w:t>1631</w:t>
            </w:r>
          </w:p>
          <w:p w14:paraId="67238F5A" w14:textId="77777777" w:rsidR="006A701A" w:rsidRPr="008B4FE6" w:rsidRDefault="006A701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A3F60E9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7C9728B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5AD77C53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4B32FA5" w14:textId="77777777" w:rsidTr="0090438E">
        <w:trPr>
          <w:trHeight w:val="333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263BF1AD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96D3CA6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5DCD33AF" w14:textId="5A2F933B" w:rsidR="00021266" w:rsidRPr="00013C32" w:rsidRDefault="000E7089" w:rsidP="000E708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13C32">
              <w:rPr>
                <w:rFonts w:ascii="Times New Roman" w:hAnsi="Times New Roman"/>
                <w:color w:val="000000"/>
                <w:spacing w:val="-2"/>
              </w:rPr>
              <w:t xml:space="preserve">Rozporządzeniem Ministra Zdrowia z dnia 18 sierpnia 2023 r. w sprawie </w:t>
            </w:r>
            <w:r w:rsidR="00F9172C">
              <w:rPr>
                <w:rFonts w:ascii="Times New Roman" w:hAnsi="Times New Roman"/>
                <w:color w:val="000000"/>
                <w:spacing w:val="-2"/>
              </w:rPr>
              <w:t xml:space="preserve">regulaminu </w:t>
            </w:r>
            <w:r w:rsidRPr="00013C32">
              <w:rPr>
                <w:rFonts w:ascii="Times New Roman" w:hAnsi="Times New Roman"/>
                <w:color w:val="000000"/>
                <w:spacing w:val="-2"/>
              </w:rPr>
              <w:t xml:space="preserve">Naczelnej Komisji Bioetycznej do spraw Badań Klinicznych (Dz. U. poz. 1702) określony został regulamin Naczelnej Komisji Bioetycznej </w:t>
            </w:r>
            <w:r w:rsidR="005513B6" w:rsidRPr="005513B6">
              <w:rPr>
                <w:rFonts w:ascii="Times New Roman" w:hAnsi="Times New Roman"/>
                <w:color w:val="000000"/>
                <w:spacing w:val="-2"/>
              </w:rPr>
              <w:t>do spraw Badań Klinicznych</w:t>
            </w:r>
            <w:r w:rsidR="005A24EA">
              <w:rPr>
                <w:rFonts w:ascii="Times New Roman" w:hAnsi="Times New Roman"/>
                <w:color w:val="000000"/>
                <w:spacing w:val="-2"/>
              </w:rPr>
              <w:t xml:space="preserve">, zwanej dalej „Naczelną Komisją Bioetyczną”, </w:t>
            </w:r>
            <w:r w:rsidRPr="00013C32">
              <w:rPr>
                <w:rFonts w:ascii="Times New Roman" w:hAnsi="Times New Roman"/>
                <w:color w:val="000000"/>
                <w:spacing w:val="-2"/>
              </w:rPr>
              <w:t>obejmujący m.in. tryb pracy Naczelnej Komisji Bioetycznej.</w:t>
            </w:r>
            <w:r w:rsidR="00021266" w:rsidRPr="00013C3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937B6D1" w14:textId="316A11D6" w:rsidR="00013C32" w:rsidRPr="00B37C80" w:rsidRDefault="00021266" w:rsidP="000E708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3C32">
              <w:rPr>
                <w:rFonts w:ascii="Times New Roman" w:hAnsi="Times New Roman"/>
                <w:color w:val="000000"/>
                <w:spacing w:val="-2"/>
              </w:rPr>
              <w:t xml:space="preserve">Dyskusje przeprowadzane </w:t>
            </w:r>
            <w:r w:rsidR="00FE1A10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013C32">
              <w:rPr>
                <w:rFonts w:ascii="Times New Roman" w:hAnsi="Times New Roman"/>
                <w:color w:val="000000"/>
                <w:spacing w:val="-2"/>
              </w:rPr>
              <w:t>odczas posiedzeń Naczelnej Komisji Bioetycznej oraz zespołów opiniujących  mają charakter wysokospecjalistyczny, co może skutkować niewłaściwym zaprotokołowaniem przebiegu dyskusji przez protokolanta, który nie ma wiedzy specjalistycznej.</w:t>
            </w:r>
          </w:p>
        </w:tc>
      </w:tr>
      <w:tr w:rsidR="006A701A" w:rsidRPr="008B4FE6" w14:paraId="5732C8F9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EBCAC81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731044C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auto"/>
          </w:tcPr>
          <w:p w14:paraId="74DC1E98" w14:textId="56B279DE" w:rsidR="00013C32" w:rsidRDefault="00013C32" w:rsidP="00B266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13C32">
              <w:rPr>
                <w:rFonts w:ascii="Times New Roman" w:hAnsi="Times New Roman"/>
                <w:color w:val="000000"/>
                <w:spacing w:val="-2"/>
              </w:rPr>
              <w:t>Niezbędne jest zapewnienie pracownikom obsługującym Naczelną Komisję Bioetyczną narzędzi umożliwiających rejestrację oraz przechowywanie transmisji dźwiękowej z przebiegu obrad i posiedzeń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013C32">
              <w:rPr>
                <w:rFonts w:ascii="Times New Roman" w:hAnsi="Times New Roman"/>
                <w:color w:val="000000"/>
                <w:spacing w:val="-2"/>
              </w:rPr>
              <w:t xml:space="preserve"> Archiwizacja nagrań z posiedzeń</w:t>
            </w:r>
            <w:r w:rsidR="006E0902">
              <w:t xml:space="preserve"> </w:t>
            </w:r>
            <w:r w:rsidR="006E0902" w:rsidRPr="006E0902">
              <w:rPr>
                <w:rFonts w:ascii="Times New Roman" w:hAnsi="Times New Roman"/>
                <w:color w:val="000000"/>
                <w:spacing w:val="-2"/>
              </w:rPr>
              <w:t>Naczelnej Komisji Bioetycznej oraz zespołów opiniujących</w:t>
            </w:r>
            <w:r w:rsidRPr="00013C32">
              <w:rPr>
                <w:rFonts w:ascii="Times New Roman" w:hAnsi="Times New Roman"/>
                <w:color w:val="000000"/>
                <w:spacing w:val="-2"/>
              </w:rPr>
              <w:t xml:space="preserve"> umożliwi powrót do przebiegu dyskusji oceny etycznej wniosku i podjęcie spójnej decyzji w szczególności w przypadku wniosków o istotną zmianę badania klinicznego. Dołączenie nagrania przebiegu dyskusji do dokumentacji umożliwi weryfikację uwag zgłaszanych podczas dyskusji, co do zamieszczonych w protokole w przypadku, kiedy opiniowanie istotnej zmiany następuje po upływie kilku lub kilkunastu miesięcy. Dodatkowo dołączenie nagrania do dokumentacji pozwoli zoptymalizować pracę sekretariatu </w:t>
            </w:r>
            <w:r w:rsidR="00125C70" w:rsidRPr="00125C70">
              <w:rPr>
                <w:rFonts w:ascii="Times New Roman" w:hAnsi="Times New Roman"/>
                <w:color w:val="000000"/>
                <w:spacing w:val="-2"/>
              </w:rPr>
              <w:t>Naczelnej Komisji Bioetycznej</w:t>
            </w:r>
            <w:r w:rsidRPr="00013C3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ECC181D" w14:textId="0DB36689" w:rsidR="00013C32" w:rsidRDefault="00B2664D" w:rsidP="00013C32">
            <w:pPr>
              <w:spacing w:line="240" w:lineRule="auto"/>
              <w:jc w:val="both"/>
            </w:pPr>
            <w:r w:rsidRPr="00B2664D">
              <w:rPr>
                <w:rFonts w:ascii="Times New Roman" w:hAnsi="Times New Roman"/>
                <w:color w:val="000000"/>
                <w:spacing w:val="-2"/>
              </w:rPr>
              <w:t xml:space="preserve">W projektowanym rozporządzeniu konieczne jest wprowadzenie </w:t>
            </w:r>
            <w:r w:rsidR="00013C32">
              <w:rPr>
                <w:rFonts w:ascii="Times New Roman" w:hAnsi="Times New Roman"/>
                <w:color w:val="000000"/>
                <w:spacing w:val="-2"/>
              </w:rPr>
              <w:t xml:space="preserve">zmiany polegającej na </w:t>
            </w:r>
            <w:r w:rsidR="00DF2078">
              <w:rPr>
                <w:rFonts w:ascii="Times New Roman" w:hAnsi="Times New Roman"/>
                <w:color w:val="000000"/>
                <w:spacing w:val="-2"/>
              </w:rPr>
              <w:t>umożliwieniu  utrwalania p</w:t>
            </w:r>
            <w:r w:rsidR="00013C32" w:rsidRPr="00013C32">
              <w:rPr>
                <w:rFonts w:ascii="Times New Roman" w:hAnsi="Times New Roman"/>
                <w:color w:val="000000"/>
                <w:spacing w:val="-2"/>
              </w:rPr>
              <w:t>rzebieg</w:t>
            </w:r>
            <w:r w:rsidR="00DF2078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013C32" w:rsidRPr="00013C32">
              <w:rPr>
                <w:rFonts w:ascii="Times New Roman" w:hAnsi="Times New Roman"/>
                <w:color w:val="000000"/>
                <w:spacing w:val="-2"/>
              </w:rPr>
              <w:t xml:space="preserve"> posiedzeń Naczelnej Komisji Bioetycznej </w:t>
            </w:r>
            <w:bookmarkStart w:id="3" w:name="_Hlk152137517"/>
            <w:r w:rsidR="00013C32" w:rsidRPr="00013C32">
              <w:rPr>
                <w:rFonts w:ascii="Times New Roman" w:hAnsi="Times New Roman"/>
                <w:color w:val="000000"/>
                <w:spacing w:val="-2"/>
              </w:rPr>
              <w:t>oraz obrad prowadzonych przez zespoły opiniujące są protokołowane oraz za</w:t>
            </w:r>
            <w:r w:rsidR="0084180A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13C32" w:rsidRPr="00013C32">
              <w:rPr>
                <w:rFonts w:ascii="Times New Roman" w:hAnsi="Times New Roman"/>
                <w:color w:val="000000"/>
                <w:spacing w:val="-2"/>
              </w:rPr>
              <w:t>pomocą urządzeń elektronicznych rejestrujących dźwięk oraz dokumentowa</w:t>
            </w:r>
            <w:r w:rsidR="0040619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bookmarkEnd w:id="3"/>
          <w:p w14:paraId="672E52F2" w14:textId="4BA3F7AE" w:rsidR="008A7E68" w:rsidRPr="00C07AAA" w:rsidRDefault="00013C32" w:rsidP="00B266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Przewiduje się że wprowadzona zmiana usprawni pracę Naczelnej Komisji Bioetycznej.</w:t>
            </w:r>
          </w:p>
        </w:tc>
      </w:tr>
      <w:tr w:rsidR="006A701A" w:rsidRPr="008B4FE6" w14:paraId="531E98D3" w14:textId="77777777" w:rsidTr="0090438E">
        <w:trPr>
          <w:trHeight w:val="307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2E7ED783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58C71BBE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auto"/>
          </w:tcPr>
          <w:p w14:paraId="113847C5" w14:textId="77777777" w:rsidR="00B2664D" w:rsidRPr="00B2664D" w:rsidRDefault="00B2664D" w:rsidP="000E708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2664D">
              <w:rPr>
                <w:rFonts w:ascii="Times New Roman" w:hAnsi="Times New Roman"/>
                <w:color w:val="000000"/>
                <w:spacing w:val="-2"/>
              </w:rPr>
              <w:t xml:space="preserve">Podstawy prawne dotyczące komisji bioetycznych, określanych również jako komisje etyczne w państwach Unii Europejskiej, wskazują na pełne kompetencje organów narodowych poszczególnych państw w kreowaniu komisji bioetycznych. Zasady realizacji zadań przez komisje bioetyczne lub etyczne są zgodne z powszechnymi standardami i wytycznymi przyjętymi przez światowe albo europejskie zgromadzenia. </w:t>
            </w:r>
          </w:p>
          <w:p w14:paraId="3725FFC6" w14:textId="32A89DA6" w:rsidR="00B2664D" w:rsidRPr="00B2664D" w:rsidRDefault="00B2664D" w:rsidP="000E708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2664D">
              <w:rPr>
                <w:rFonts w:ascii="Times New Roman" w:hAnsi="Times New Roman"/>
                <w:color w:val="000000"/>
                <w:spacing w:val="-2"/>
              </w:rPr>
              <w:t>Należy zatem wskazać, że podobnie jak w Rzecz</w:t>
            </w:r>
            <w:r w:rsidR="00220F14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B2664D">
              <w:rPr>
                <w:rFonts w:ascii="Times New Roman" w:hAnsi="Times New Roman"/>
                <w:color w:val="000000"/>
                <w:spacing w:val="-2"/>
              </w:rPr>
              <w:t xml:space="preserve">pospolitej Polskiej, w państwach Unii Europejskiej są powoływane właściwe komisje etyczne (ethics committee), których zadaniem jest opiniowanie eksperymentów medycznych pod względem etycznym i merytorycznym. Pozytywne opinie ww. komisji stanowią przesłankę umożliwiającą realizację eksperymentu medycznego. </w:t>
            </w:r>
          </w:p>
          <w:p w14:paraId="57D9C77E" w14:textId="47D2130A" w:rsidR="008A7E68" w:rsidRPr="00B37C80" w:rsidRDefault="00B2664D" w:rsidP="000E708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2664D">
              <w:rPr>
                <w:rFonts w:ascii="Times New Roman" w:hAnsi="Times New Roman"/>
                <w:color w:val="000000"/>
                <w:spacing w:val="-2"/>
              </w:rPr>
              <w:t>Powoływane w państwach członkowskich Unii Europejskiej komisje etyczne, stanowią odpowiednik komisji bioetycznych działających w polskim systemie prawnym, w skład których wchodzą przedstawiciele systemu ochrony zdrowia – medycy oraz osoby niezwiązane z naukami medycznymi.</w:t>
            </w:r>
          </w:p>
        </w:tc>
      </w:tr>
      <w:tr w:rsidR="006A701A" w:rsidRPr="008B4FE6" w14:paraId="73AE4C4F" w14:textId="77777777" w:rsidTr="0090438E">
        <w:trPr>
          <w:trHeight w:val="359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6980223C" w14:textId="77777777" w:rsidR="006A701A" w:rsidRPr="008B4FE6" w:rsidRDefault="006A701A" w:rsidP="00F060E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  <w:r w:rsidR="004F1461">
              <w:rPr>
                <w:rFonts w:ascii="Times New Roman" w:hAnsi="Times New Roman"/>
                <w:b/>
                <w:color w:val="000000"/>
              </w:rPr>
              <w:t xml:space="preserve">: </w:t>
            </w:r>
          </w:p>
        </w:tc>
      </w:tr>
      <w:tr w:rsidR="00260F33" w:rsidRPr="008B4FE6" w14:paraId="38631438" w14:textId="77777777" w:rsidTr="000D25BA">
        <w:trPr>
          <w:trHeight w:val="142"/>
          <w:jc w:val="center"/>
        </w:trPr>
        <w:tc>
          <w:tcPr>
            <w:tcW w:w="3353" w:type="dxa"/>
            <w:gridSpan w:val="4"/>
            <w:shd w:val="clear" w:color="auto" w:fill="auto"/>
          </w:tcPr>
          <w:p w14:paraId="00B25DD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43" w:type="dxa"/>
            <w:gridSpan w:val="7"/>
            <w:shd w:val="clear" w:color="auto" w:fill="auto"/>
          </w:tcPr>
          <w:p w14:paraId="55C71E14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126" w:type="dxa"/>
            <w:gridSpan w:val="9"/>
            <w:shd w:val="clear" w:color="auto" w:fill="auto"/>
          </w:tcPr>
          <w:p w14:paraId="52D9D3B6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615" w:type="dxa"/>
            <w:gridSpan w:val="7"/>
            <w:shd w:val="clear" w:color="auto" w:fill="auto"/>
          </w:tcPr>
          <w:p w14:paraId="099BC86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B2664D" w:rsidRPr="008B4FE6" w14:paraId="698988EC" w14:textId="77777777" w:rsidTr="00A92D38">
        <w:trPr>
          <w:trHeight w:val="142"/>
          <w:jc w:val="center"/>
        </w:trPr>
        <w:tc>
          <w:tcPr>
            <w:tcW w:w="3353" w:type="dxa"/>
            <w:gridSpan w:val="4"/>
            <w:shd w:val="clear" w:color="auto" w:fill="auto"/>
          </w:tcPr>
          <w:p w14:paraId="4C0B8029" w14:textId="1FB25D2D" w:rsidR="00B2664D" w:rsidRPr="008B4FE6" w:rsidRDefault="000E7089" w:rsidP="00B2664D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Agencja Badań Medycznych</w:t>
            </w:r>
          </w:p>
        </w:tc>
        <w:tc>
          <w:tcPr>
            <w:tcW w:w="1843" w:type="dxa"/>
            <w:gridSpan w:val="7"/>
            <w:shd w:val="clear" w:color="auto" w:fill="auto"/>
          </w:tcPr>
          <w:p w14:paraId="70407A3C" w14:textId="2F760681" w:rsidR="00B2664D" w:rsidRPr="00B37C80" w:rsidRDefault="00B2664D" w:rsidP="00B266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126" w:type="dxa"/>
            <w:gridSpan w:val="9"/>
            <w:shd w:val="clear" w:color="auto" w:fill="auto"/>
          </w:tcPr>
          <w:p w14:paraId="749E4BBA" w14:textId="18F9A2C7" w:rsidR="00B2664D" w:rsidRPr="00B37C80" w:rsidRDefault="00B2664D" w:rsidP="00B266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Dane własne</w:t>
            </w:r>
          </w:p>
        </w:tc>
        <w:tc>
          <w:tcPr>
            <w:tcW w:w="3615" w:type="dxa"/>
            <w:gridSpan w:val="7"/>
            <w:shd w:val="clear" w:color="auto" w:fill="auto"/>
          </w:tcPr>
          <w:p w14:paraId="77CC0931" w14:textId="60086B52" w:rsidR="00B2664D" w:rsidRPr="00B37C80" w:rsidRDefault="00021266" w:rsidP="00B2664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Agencja Badań Medycznych zapewnia obsługę Naczelnej Komisji Bioetycznej do spraw Badań Klinicznych</w:t>
            </w:r>
          </w:p>
        </w:tc>
      </w:tr>
      <w:tr w:rsidR="00013C32" w:rsidRPr="008B4FE6" w14:paraId="14D0EB27" w14:textId="77777777" w:rsidTr="00A92D38">
        <w:trPr>
          <w:trHeight w:val="142"/>
          <w:jc w:val="center"/>
        </w:trPr>
        <w:tc>
          <w:tcPr>
            <w:tcW w:w="3353" w:type="dxa"/>
            <w:gridSpan w:val="4"/>
            <w:shd w:val="clear" w:color="auto" w:fill="auto"/>
          </w:tcPr>
          <w:p w14:paraId="786483BA" w14:textId="6C61BB4E" w:rsidR="00013C32" w:rsidRDefault="00013C32" w:rsidP="00B2664D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Naczelna Komisja Bioetyczna </w:t>
            </w:r>
          </w:p>
        </w:tc>
        <w:tc>
          <w:tcPr>
            <w:tcW w:w="1843" w:type="dxa"/>
            <w:gridSpan w:val="7"/>
            <w:shd w:val="clear" w:color="auto" w:fill="auto"/>
          </w:tcPr>
          <w:p w14:paraId="431E6E9B" w14:textId="45A79C23" w:rsidR="00013C32" w:rsidRDefault="00013C32" w:rsidP="00B2664D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126" w:type="dxa"/>
            <w:gridSpan w:val="9"/>
            <w:shd w:val="clear" w:color="auto" w:fill="auto"/>
          </w:tcPr>
          <w:p w14:paraId="018609DA" w14:textId="2AA69A7C" w:rsidR="00013C32" w:rsidRDefault="00013C32" w:rsidP="00B266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własne</w:t>
            </w:r>
          </w:p>
        </w:tc>
        <w:tc>
          <w:tcPr>
            <w:tcW w:w="3615" w:type="dxa"/>
            <w:gridSpan w:val="7"/>
            <w:shd w:val="clear" w:color="auto" w:fill="auto"/>
          </w:tcPr>
          <w:p w14:paraId="0E34A5FF" w14:textId="0FDC6AC2" w:rsidR="00013C32" w:rsidRDefault="00013C32" w:rsidP="00B266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Usprawnienie oceny wniosków o istotną zmianę badania klinicznego</w:t>
            </w:r>
          </w:p>
        </w:tc>
      </w:tr>
      <w:tr w:rsidR="00131678" w:rsidRPr="008B4FE6" w14:paraId="484FD26D" w14:textId="77777777" w:rsidTr="0090438E">
        <w:trPr>
          <w:trHeight w:val="302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978BF4E" w14:textId="77777777" w:rsidR="00131678" w:rsidRPr="008B4FE6" w:rsidRDefault="00131678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131678" w:rsidRPr="008B4FE6" w14:paraId="286D0D72" w14:textId="77777777" w:rsidTr="0090438E">
        <w:trPr>
          <w:trHeight w:val="342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30B0B59E" w14:textId="77777777" w:rsidR="00B2664D" w:rsidRDefault="00B2664D" w:rsidP="00B2664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5E1FE7">
              <w:rPr>
                <w:rFonts w:ascii="Times New Roman" w:eastAsia="Times New Roman" w:hAnsi="Times New Roman"/>
              </w:rPr>
              <w:t>rojekt rozporządzenia nie był</w:t>
            </w:r>
            <w:r>
              <w:rPr>
                <w:rFonts w:ascii="Times New Roman" w:eastAsia="Times New Roman" w:hAnsi="Times New Roman"/>
              </w:rPr>
              <w:t xml:space="preserve"> przedmiotem</w:t>
            </w:r>
            <w:r w:rsidRPr="005E1FE7">
              <w:rPr>
                <w:rFonts w:ascii="Times New Roman" w:eastAsia="Times New Roman" w:hAnsi="Times New Roman"/>
              </w:rPr>
              <w:t xml:space="preserve"> tzw. pre-konsultacj</w:t>
            </w:r>
            <w:r>
              <w:rPr>
                <w:rFonts w:ascii="Times New Roman" w:eastAsia="Times New Roman" w:hAnsi="Times New Roman"/>
              </w:rPr>
              <w:t>i</w:t>
            </w:r>
            <w:r w:rsidRPr="005E1FE7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063434C3" w14:textId="7B196607" w:rsidR="00B2664D" w:rsidRPr="00DD07CB" w:rsidRDefault="00B2664D" w:rsidP="00B2664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4E4914">
              <w:rPr>
                <w:rFonts w:ascii="Times New Roman" w:hAnsi="Times New Roman"/>
                <w:color w:val="000000"/>
                <w:spacing w:val="-2"/>
              </w:rPr>
              <w:t>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przekazany do konsultacji publicznych i opiniowania, na okres </w:t>
            </w:r>
            <w:r w:rsidR="00BF1C55">
              <w:rPr>
                <w:rFonts w:ascii="Times New Roman" w:hAnsi="Times New Roman"/>
                <w:color w:val="000000"/>
                <w:spacing w:val="-2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dni, następującym podmiotom:</w:t>
            </w:r>
          </w:p>
          <w:p w14:paraId="4EA16BAC" w14:textId="113FFA17" w:rsidR="00197435" w:rsidRPr="00006C2F" w:rsidRDefault="00CE2042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Prezesowi </w:t>
            </w:r>
            <w:r w:rsidR="00197435" w:rsidRPr="00006C2F">
              <w:rPr>
                <w:rFonts w:ascii="Times New Roman" w:hAnsi="Times New Roman"/>
              </w:rPr>
              <w:t>Narodow</w:t>
            </w:r>
            <w:r w:rsidR="0019743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go</w:t>
            </w:r>
            <w:r w:rsidR="00197435" w:rsidRPr="00006C2F">
              <w:rPr>
                <w:rFonts w:ascii="Times New Roman" w:hAnsi="Times New Roman"/>
              </w:rPr>
              <w:t xml:space="preserve"> Fundusz</w:t>
            </w:r>
            <w:r>
              <w:rPr>
                <w:rFonts w:ascii="Times New Roman" w:hAnsi="Times New Roman"/>
              </w:rPr>
              <w:t>u</w:t>
            </w:r>
            <w:r w:rsidR="00197435" w:rsidRPr="00006C2F">
              <w:rPr>
                <w:rFonts w:ascii="Times New Roman" w:hAnsi="Times New Roman"/>
              </w:rPr>
              <w:t xml:space="preserve"> Zdrowia;</w:t>
            </w:r>
          </w:p>
          <w:p w14:paraId="21AC937B" w14:textId="5ED9A925" w:rsidR="00197435" w:rsidRPr="00006C2F" w:rsidRDefault="00CE2042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Prezesowi </w:t>
            </w:r>
            <w:r w:rsidR="00197435" w:rsidRPr="00006C2F">
              <w:rPr>
                <w:rFonts w:ascii="Times New Roman" w:hAnsi="Times New Roman"/>
              </w:rPr>
              <w:t>Agencj</w:t>
            </w:r>
            <w:r w:rsidR="00197435">
              <w:rPr>
                <w:rFonts w:ascii="Times New Roman" w:hAnsi="Times New Roman"/>
              </w:rPr>
              <w:t>i</w:t>
            </w:r>
            <w:r w:rsidR="00197435" w:rsidRPr="00006C2F">
              <w:rPr>
                <w:rFonts w:ascii="Times New Roman" w:hAnsi="Times New Roman"/>
              </w:rPr>
              <w:t xml:space="preserve"> Badań Medycznych;</w:t>
            </w:r>
          </w:p>
          <w:p w14:paraId="74A2A208" w14:textId="77777777" w:rsidR="00197435" w:rsidRPr="00006C2F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06C2F">
              <w:rPr>
                <w:rFonts w:ascii="Times New Roman" w:hAnsi="Times New Roman"/>
              </w:rPr>
              <w:t>Rzecznik</w:t>
            </w:r>
            <w:r>
              <w:rPr>
                <w:rFonts w:ascii="Times New Roman" w:hAnsi="Times New Roman"/>
              </w:rPr>
              <w:t>owi</w:t>
            </w:r>
            <w:r w:rsidRPr="00006C2F">
              <w:rPr>
                <w:rFonts w:ascii="Times New Roman" w:hAnsi="Times New Roman"/>
              </w:rPr>
              <w:t xml:space="preserve"> Praw Pacjenta;</w:t>
            </w:r>
          </w:p>
          <w:p w14:paraId="1E2F10A2" w14:textId="77777777" w:rsidR="00197435" w:rsidRPr="0082541B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2541B">
              <w:rPr>
                <w:rFonts w:ascii="Times New Roman" w:hAnsi="Times New Roman"/>
              </w:rPr>
              <w:t>Naczeln</w:t>
            </w:r>
            <w:r>
              <w:rPr>
                <w:rFonts w:ascii="Times New Roman" w:hAnsi="Times New Roman"/>
              </w:rPr>
              <w:t>ej</w:t>
            </w:r>
            <w:r w:rsidRPr="0082541B">
              <w:rPr>
                <w:rFonts w:ascii="Times New Roman" w:hAnsi="Times New Roman"/>
              </w:rPr>
              <w:t xml:space="preserve"> Rad</w:t>
            </w:r>
            <w:r>
              <w:rPr>
                <w:rFonts w:ascii="Times New Roman" w:hAnsi="Times New Roman"/>
              </w:rPr>
              <w:t>zie</w:t>
            </w:r>
            <w:r w:rsidRPr="0082541B">
              <w:rPr>
                <w:rFonts w:ascii="Times New Roman" w:hAnsi="Times New Roman"/>
              </w:rPr>
              <w:t xml:space="preserve"> Lekarsk</w:t>
            </w:r>
            <w:r>
              <w:rPr>
                <w:rFonts w:ascii="Times New Roman" w:hAnsi="Times New Roman"/>
              </w:rPr>
              <w:t>iej</w:t>
            </w:r>
            <w:r w:rsidRPr="0082541B">
              <w:rPr>
                <w:rFonts w:ascii="Times New Roman" w:hAnsi="Times New Roman"/>
              </w:rPr>
              <w:t xml:space="preserve">; </w:t>
            </w:r>
          </w:p>
          <w:p w14:paraId="0E9DD6EB" w14:textId="10BAC10B" w:rsidR="00197435" w:rsidRPr="00C81653" w:rsidRDefault="00E6347F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Prezesowi </w:t>
            </w:r>
            <w:r w:rsidR="00197435" w:rsidRPr="00C81653">
              <w:rPr>
                <w:rFonts w:ascii="Times New Roman" w:hAnsi="Times New Roman"/>
              </w:rPr>
              <w:t>Prokuratori</w:t>
            </w:r>
            <w:r w:rsidR="00197435">
              <w:rPr>
                <w:rFonts w:ascii="Times New Roman" w:hAnsi="Times New Roman"/>
              </w:rPr>
              <w:t>i</w:t>
            </w:r>
            <w:r w:rsidR="00197435" w:rsidRPr="00C81653">
              <w:rPr>
                <w:rFonts w:ascii="Times New Roman" w:hAnsi="Times New Roman"/>
              </w:rPr>
              <w:t xml:space="preserve"> Generaln</w:t>
            </w:r>
            <w:r w:rsidR="00197435">
              <w:rPr>
                <w:rFonts w:ascii="Times New Roman" w:hAnsi="Times New Roman"/>
              </w:rPr>
              <w:t>ej</w:t>
            </w:r>
            <w:r w:rsidR="00197435" w:rsidRPr="00C81653">
              <w:rPr>
                <w:rFonts w:ascii="Times New Roman" w:hAnsi="Times New Roman"/>
              </w:rPr>
              <w:t xml:space="preserve"> Rzeczypospolitej Polskiej;</w:t>
            </w:r>
          </w:p>
          <w:p w14:paraId="584AB476" w14:textId="77777777" w:rsidR="00197435" w:rsidRPr="00C81653" w:rsidRDefault="00197435" w:rsidP="00FF173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hAnsi="Times New Roman"/>
                <w:lang w:eastAsia="pl-PL"/>
              </w:rPr>
            </w:pPr>
            <w:r w:rsidRPr="00C81653">
              <w:rPr>
                <w:rFonts w:ascii="Times New Roman" w:hAnsi="Times New Roman"/>
                <w:lang w:eastAsia="pl-PL"/>
              </w:rPr>
              <w:t>Prezes</w:t>
            </w:r>
            <w:r>
              <w:rPr>
                <w:rFonts w:ascii="Times New Roman" w:hAnsi="Times New Roman"/>
                <w:lang w:eastAsia="pl-PL"/>
              </w:rPr>
              <w:t>owi</w:t>
            </w:r>
            <w:r w:rsidRPr="00C81653">
              <w:rPr>
                <w:rFonts w:ascii="Times New Roman" w:hAnsi="Times New Roman"/>
                <w:lang w:eastAsia="pl-PL"/>
              </w:rPr>
              <w:t xml:space="preserve"> Urzędu Ochrony Konkurencji i Konsumentów;</w:t>
            </w:r>
          </w:p>
          <w:p w14:paraId="44F9EA75" w14:textId="77777777" w:rsidR="00197435" w:rsidRPr="0082541B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81653">
              <w:rPr>
                <w:rFonts w:ascii="Times New Roman" w:hAnsi="Times New Roman"/>
                <w:lang w:eastAsia="pl-PL"/>
              </w:rPr>
              <w:t>Prezes</w:t>
            </w:r>
            <w:r>
              <w:rPr>
                <w:rFonts w:ascii="Times New Roman" w:hAnsi="Times New Roman"/>
                <w:lang w:eastAsia="pl-PL"/>
              </w:rPr>
              <w:t>owi</w:t>
            </w:r>
            <w:r w:rsidRPr="00C81653">
              <w:rPr>
                <w:rFonts w:ascii="Times New Roman" w:hAnsi="Times New Roman"/>
                <w:lang w:eastAsia="pl-PL"/>
              </w:rPr>
              <w:t xml:space="preserve"> Urzędu Ochrony Danych Osobowych;</w:t>
            </w:r>
          </w:p>
          <w:p w14:paraId="399B9F45" w14:textId="77777777" w:rsidR="00197435" w:rsidRPr="00006C2F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06C2F">
              <w:rPr>
                <w:rFonts w:ascii="Times New Roman" w:hAnsi="Times New Roman"/>
              </w:rPr>
              <w:t>Naczeln</w:t>
            </w:r>
            <w:r>
              <w:rPr>
                <w:rFonts w:ascii="Times New Roman" w:hAnsi="Times New Roman"/>
              </w:rPr>
              <w:t>ej</w:t>
            </w:r>
            <w:r w:rsidRPr="00006C2F">
              <w:rPr>
                <w:rFonts w:ascii="Times New Roman" w:hAnsi="Times New Roman"/>
              </w:rPr>
              <w:t xml:space="preserve"> Rad</w:t>
            </w:r>
            <w:r>
              <w:rPr>
                <w:rFonts w:ascii="Times New Roman" w:hAnsi="Times New Roman"/>
              </w:rPr>
              <w:t>zie</w:t>
            </w:r>
            <w:r w:rsidRPr="00006C2F">
              <w:rPr>
                <w:rFonts w:ascii="Times New Roman" w:hAnsi="Times New Roman"/>
              </w:rPr>
              <w:t xml:space="preserve"> Aptekarsk</w:t>
            </w:r>
            <w:r>
              <w:rPr>
                <w:rFonts w:ascii="Times New Roman" w:hAnsi="Times New Roman"/>
              </w:rPr>
              <w:t>iej</w:t>
            </w:r>
            <w:r w:rsidRPr="00006C2F">
              <w:rPr>
                <w:rFonts w:ascii="Times New Roman" w:hAnsi="Times New Roman"/>
              </w:rPr>
              <w:t>;</w:t>
            </w:r>
          </w:p>
          <w:p w14:paraId="2239DD0E" w14:textId="77777777" w:rsidR="00197435" w:rsidRPr="00006C2F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06C2F">
              <w:rPr>
                <w:rFonts w:ascii="Times New Roman" w:hAnsi="Times New Roman"/>
              </w:rPr>
              <w:t>Naczeln</w:t>
            </w:r>
            <w:r>
              <w:rPr>
                <w:rFonts w:ascii="Times New Roman" w:hAnsi="Times New Roman"/>
              </w:rPr>
              <w:t>ej</w:t>
            </w:r>
            <w:r w:rsidRPr="00006C2F">
              <w:rPr>
                <w:rFonts w:ascii="Times New Roman" w:hAnsi="Times New Roman"/>
              </w:rPr>
              <w:t xml:space="preserve"> Rad</w:t>
            </w:r>
            <w:r>
              <w:rPr>
                <w:rFonts w:ascii="Times New Roman" w:hAnsi="Times New Roman"/>
              </w:rPr>
              <w:t>zie</w:t>
            </w:r>
            <w:r w:rsidRPr="00006C2F">
              <w:rPr>
                <w:rFonts w:ascii="Times New Roman" w:hAnsi="Times New Roman"/>
              </w:rPr>
              <w:t xml:space="preserve"> Pielęgniarek i Położnych;</w:t>
            </w:r>
          </w:p>
          <w:p w14:paraId="20E22466" w14:textId="77777777" w:rsidR="00197435" w:rsidRPr="00006C2F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06C2F">
              <w:rPr>
                <w:rFonts w:ascii="Times New Roman" w:hAnsi="Times New Roman"/>
              </w:rPr>
              <w:t>Krajow</w:t>
            </w:r>
            <w:r>
              <w:rPr>
                <w:rFonts w:ascii="Times New Roman" w:hAnsi="Times New Roman"/>
              </w:rPr>
              <w:t>ej</w:t>
            </w:r>
            <w:r w:rsidRPr="00006C2F">
              <w:rPr>
                <w:rFonts w:ascii="Times New Roman" w:hAnsi="Times New Roman"/>
              </w:rPr>
              <w:t xml:space="preserve"> Rad</w:t>
            </w:r>
            <w:r>
              <w:rPr>
                <w:rFonts w:ascii="Times New Roman" w:hAnsi="Times New Roman"/>
              </w:rPr>
              <w:t>zie</w:t>
            </w:r>
            <w:r w:rsidRPr="00006C2F">
              <w:rPr>
                <w:rFonts w:ascii="Times New Roman" w:hAnsi="Times New Roman"/>
              </w:rPr>
              <w:t xml:space="preserve"> Fizjoterapeutów;</w:t>
            </w:r>
          </w:p>
          <w:p w14:paraId="1E9B2D61" w14:textId="77777777" w:rsidR="00197435" w:rsidRPr="00006C2F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06C2F">
              <w:rPr>
                <w:rFonts w:ascii="Times New Roman" w:hAnsi="Times New Roman"/>
              </w:rPr>
              <w:t>Krajow</w:t>
            </w:r>
            <w:r>
              <w:rPr>
                <w:rFonts w:ascii="Times New Roman" w:hAnsi="Times New Roman"/>
              </w:rPr>
              <w:t>ej</w:t>
            </w:r>
            <w:r w:rsidRPr="00006C2F">
              <w:rPr>
                <w:rFonts w:ascii="Times New Roman" w:hAnsi="Times New Roman"/>
              </w:rPr>
              <w:t xml:space="preserve"> Rad</w:t>
            </w:r>
            <w:r>
              <w:rPr>
                <w:rFonts w:ascii="Times New Roman" w:hAnsi="Times New Roman"/>
              </w:rPr>
              <w:t>zie</w:t>
            </w:r>
            <w:r w:rsidRPr="00006C2F">
              <w:rPr>
                <w:rFonts w:ascii="Times New Roman" w:hAnsi="Times New Roman"/>
              </w:rPr>
              <w:t xml:space="preserve"> Diagnostów Laboratoryjnych;</w:t>
            </w:r>
          </w:p>
          <w:p w14:paraId="2E262F90" w14:textId="5E6A10C8" w:rsidR="00197435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D6F8C">
              <w:rPr>
                <w:rFonts w:ascii="Times New Roman" w:hAnsi="Times New Roman"/>
              </w:rPr>
              <w:t>Rad</w:t>
            </w:r>
            <w:r w:rsidR="00E6347F">
              <w:rPr>
                <w:rFonts w:ascii="Times New Roman" w:hAnsi="Times New Roman"/>
              </w:rPr>
              <w:t>zie</w:t>
            </w:r>
            <w:r w:rsidRPr="00CD6F8C">
              <w:rPr>
                <w:rFonts w:ascii="Times New Roman" w:hAnsi="Times New Roman"/>
              </w:rPr>
              <w:t xml:space="preserve"> Dialogu Społecznego;</w:t>
            </w:r>
          </w:p>
          <w:p w14:paraId="09FB6C53" w14:textId="2612ACFD" w:rsidR="00197435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D6F8C">
              <w:rPr>
                <w:rFonts w:ascii="Times New Roman" w:hAnsi="Times New Roman"/>
              </w:rPr>
              <w:t>Związk</w:t>
            </w:r>
            <w:r w:rsidR="00E6347F">
              <w:rPr>
                <w:rFonts w:ascii="Times New Roman" w:hAnsi="Times New Roman"/>
              </w:rPr>
              <w:t>owi</w:t>
            </w:r>
            <w:r w:rsidRPr="00CD6F8C">
              <w:rPr>
                <w:rFonts w:ascii="Times New Roman" w:hAnsi="Times New Roman"/>
              </w:rPr>
              <w:t xml:space="preserve"> Pracodawców – Business Centre Club;</w:t>
            </w:r>
          </w:p>
          <w:p w14:paraId="0D776ACC" w14:textId="358321B4" w:rsidR="00197435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D6F8C">
              <w:rPr>
                <w:rFonts w:ascii="Times New Roman" w:hAnsi="Times New Roman"/>
              </w:rPr>
              <w:t>Pracodawc</w:t>
            </w:r>
            <w:r w:rsidR="00E6347F">
              <w:rPr>
                <w:rFonts w:ascii="Times New Roman" w:hAnsi="Times New Roman"/>
              </w:rPr>
              <w:t>om</w:t>
            </w:r>
            <w:r w:rsidRPr="00CD6F8C">
              <w:rPr>
                <w:rFonts w:ascii="Times New Roman" w:hAnsi="Times New Roman"/>
              </w:rPr>
              <w:t xml:space="preserve"> Rzeczypospolitej Polskiej;</w:t>
            </w:r>
          </w:p>
          <w:p w14:paraId="3948C1E4" w14:textId="77777777" w:rsidR="00197435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D6F8C">
              <w:rPr>
                <w:rFonts w:ascii="Times New Roman" w:hAnsi="Times New Roman"/>
              </w:rPr>
              <w:t>Konfederacj</w:t>
            </w:r>
            <w:r>
              <w:rPr>
                <w:rFonts w:ascii="Times New Roman" w:hAnsi="Times New Roman"/>
              </w:rPr>
              <w:t>i</w:t>
            </w:r>
            <w:r w:rsidRPr="00CD6F8C">
              <w:rPr>
                <w:rFonts w:ascii="Times New Roman" w:hAnsi="Times New Roman"/>
              </w:rPr>
              <w:t xml:space="preserve"> Lewiatan;</w:t>
            </w:r>
          </w:p>
          <w:p w14:paraId="374320FE" w14:textId="02B0CE49" w:rsidR="00197435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D6F8C">
              <w:rPr>
                <w:rFonts w:ascii="Times New Roman" w:hAnsi="Times New Roman"/>
              </w:rPr>
              <w:t>Porozumieni</w:t>
            </w:r>
            <w:r w:rsidR="00E6347F">
              <w:rPr>
                <w:rFonts w:ascii="Times New Roman" w:hAnsi="Times New Roman"/>
              </w:rPr>
              <w:t>u</w:t>
            </w:r>
            <w:r w:rsidRPr="00CD6F8C">
              <w:rPr>
                <w:rFonts w:ascii="Times New Roman" w:hAnsi="Times New Roman"/>
              </w:rPr>
              <w:t xml:space="preserve"> Pracodawców Ochrony Zdrowia;</w:t>
            </w:r>
          </w:p>
          <w:p w14:paraId="25558FF5" w14:textId="53E67C78" w:rsidR="00197435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D6F8C">
              <w:rPr>
                <w:rFonts w:ascii="Times New Roman" w:hAnsi="Times New Roman"/>
              </w:rPr>
              <w:t>Porozumieni</w:t>
            </w:r>
            <w:r w:rsidR="004E4914">
              <w:rPr>
                <w:rFonts w:ascii="Times New Roman" w:hAnsi="Times New Roman"/>
              </w:rPr>
              <w:t>u</w:t>
            </w:r>
            <w:r w:rsidRPr="00CD6F8C">
              <w:rPr>
                <w:rFonts w:ascii="Times New Roman" w:hAnsi="Times New Roman"/>
              </w:rPr>
              <w:t xml:space="preserve"> Pracodawców Służby Zdrowia;</w:t>
            </w:r>
          </w:p>
          <w:p w14:paraId="5E80821E" w14:textId="77777777" w:rsidR="00197435" w:rsidRPr="00CD6F8C" w:rsidRDefault="00197435" w:rsidP="00FF173A">
            <w:pPr>
              <w:numPr>
                <w:ilvl w:val="0"/>
                <w:numId w:val="37"/>
              </w:num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D6F8C">
              <w:rPr>
                <w:rFonts w:ascii="Times New Roman" w:hAnsi="Times New Roman"/>
              </w:rPr>
              <w:t>Federacji Związków Pracodawców Ochrony Zdrowia „Porozumienie Zielonogórskie”</w:t>
            </w:r>
            <w:r>
              <w:rPr>
                <w:rFonts w:ascii="Times New Roman" w:hAnsi="Times New Roman"/>
              </w:rPr>
              <w:t>.</w:t>
            </w:r>
          </w:p>
          <w:p w14:paraId="14BF2B32" w14:textId="77777777" w:rsidR="00B2664D" w:rsidRDefault="00B2664D" w:rsidP="00E6347F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3A9FFFD" w14:textId="7FB556DE" w:rsidR="00F45CBF" w:rsidRDefault="00BB49B5" w:rsidP="00B2664D">
            <w:pPr>
              <w:spacing w:before="120" w:after="120" w:line="240" w:lineRule="auto"/>
              <w:jc w:val="both"/>
              <w:rPr>
                <w:rFonts w:ascii="Times New Roman" w:hAnsi="Times New Roman"/>
                <w:lang w:val=""/>
              </w:rPr>
            </w:pPr>
            <w:r w:rsidRPr="00875CC9">
              <w:rPr>
                <w:rFonts w:ascii="Times New Roman" w:hAnsi="Times New Roman"/>
                <w:lang w:val=""/>
              </w:rPr>
              <w:t xml:space="preserve">Projekt rozporządzenia </w:t>
            </w:r>
            <w:r>
              <w:rPr>
                <w:rFonts w:ascii="Times New Roman" w:hAnsi="Times New Roman"/>
                <w:lang w:val=""/>
              </w:rPr>
              <w:t>został</w:t>
            </w:r>
            <w:r w:rsidR="00EC7878">
              <w:rPr>
                <w:rFonts w:ascii="Times New Roman" w:hAnsi="Times New Roman"/>
                <w:lang w:val=""/>
              </w:rPr>
              <w:t xml:space="preserve"> zamieszczony,</w:t>
            </w:r>
            <w:r w:rsidRPr="00875CC9">
              <w:rPr>
                <w:rFonts w:ascii="Times New Roman" w:hAnsi="Times New Roman"/>
                <w:lang w:val=""/>
              </w:rPr>
              <w:t xml:space="preserve"> </w:t>
            </w:r>
            <w:r w:rsidR="00EC7878" w:rsidRPr="00875CC9">
              <w:rPr>
                <w:rFonts w:ascii="Times New Roman" w:hAnsi="Times New Roman"/>
                <w:lang w:val=""/>
              </w:rPr>
              <w:t>zgodnie z § 52 ust. 1 uchwały nr 190 Rady Ministrów z dnia 29 października 2013 r. – Regulamin pracy Rady Ministrów (M.P. z 20</w:t>
            </w:r>
            <w:r w:rsidR="00EC7878">
              <w:rPr>
                <w:rFonts w:ascii="Times New Roman" w:hAnsi="Times New Roman"/>
                <w:lang w:val=""/>
              </w:rPr>
              <w:t>22</w:t>
            </w:r>
            <w:r w:rsidR="00EC7878" w:rsidRPr="00875CC9">
              <w:rPr>
                <w:rFonts w:ascii="Times New Roman" w:hAnsi="Times New Roman"/>
                <w:lang w:val=""/>
              </w:rPr>
              <w:t xml:space="preserve"> r. poz. </w:t>
            </w:r>
            <w:r w:rsidR="00EC7878">
              <w:rPr>
                <w:rFonts w:ascii="Times New Roman" w:hAnsi="Times New Roman"/>
                <w:lang w:val=""/>
              </w:rPr>
              <w:t>348)</w:t>
            </w:r>
            <w:r w:rsidRPr="00875CC9">
              <w:rPr>
                <w:rFonts w:ascii="Times New Roman" w:hAnsi="Times New Roman"/>
                <w:lang w:val=""/>
              </w:rPr>
              <w:t xml:space="preserve"> w Biuletynie Informacji Publicznej na stronie podmiotowej Rządowego Centrum Legislacji</w:t>
            </w:r>
            <w:r>
              <w:rPr>
                <w:rFonts w:ascii="Times New Roman" w:hAnsi="Times New Roman"/>
                <w:lang w:val=""/>
              </w:rPr>
              <w:t>,</w:t>
            </w:r>
            <w:r w:rsidRPr="00875CC9">
              <w:rPr>
                <w:rFonts w:ascii="Times New Roman" w:hAnsi="Times New Roman"/>
                <w:lang w:val=""/>
              </w:rPr>
              <w:t xml:space="preserve"> w serwisie Rządowy Proces Legislacyjny</w:t>
            </w:r>
            <w:r w:rsidR="00745E8C">
              <w:rPr>
                <w:rFonts w:ascii="Times New Roman" w:hAnsi="Times New Roman"/>
                <w:lang w:val=""/>
              </w:rPr>
              <w:t>.</w:t>
            </w:r>
            <w:r w:rsidRPr="00875CC9">
              <w:rPr>
                <w:rFonts w:ascii="Times New Roman" w:hAnsi="Times New Roman"/>
                <w:lang w:val=""/>
              </w:rPr>
              <w:t xml:space="preserve"> </w:t>
            </w:r>
            <w:r w:rsidR="00745E8C">
              <w:rPr>
                <w:rFonts w:ascii="Times New Roman" w:hAnsi="Times New Roman"/>
                <w:lang w:val=""/>
              </w:rPr>
              <w:t xml:space="preserve"> </w:t>
            </w:r>
            <w:r w:rsidR="00B2664D" w:rsidRPr="00875CC9">
              <w:rPr>
                <w:rFonts w:ascii="Times New Roman" w:hAnsi="Times New Roman"/>
                <w:lang w:val=""/>
              </w:rPr>
              <w:t>P</w:t>
            </w:r>
            <w:r w:rsidR="00745E8C">
              <w:rPr>
                <w:rFonts w:ascii="Times New Roman" w:hAnsi="Times New Roman"/>
                <w:lang w:val=""/>
              </w:rPr>
              <w:t>onadto p</w:t>
            </w:r>
            <w:r w:rsidR="00B2664D" w:rsidRPr="00875CC9">
              <w:rPr>
                <w:rFonts w:ascii="Times New Roman" w:hAnsi="Times New Roman"/>
                <w:lang w:val=""/>
              </w:rPr>
              <w:t xml:space="preserve">rojekt rozporządzenia </w:t>
            </w:r>
            <w:r w:rsidR="00B2664D">
              <w:rPr>
                <w:rFonts w:ascii="Times New Roman" w:hAnsi="Times New Roman"/>
                <w:lang w:val=""/>
              </w:rPr>
              <w:t>zosta</w:t>
            </w:r>
            <w:r w:rsidR="004E4914">
              <w:rPr>
                <w:rFonts w:ascii="Times New Roman" w:hAnsi="Times New Roman"/>
                <w:lang w:val=""/>
              </w:rPr>
              <w:t>ł</w:t>
            </w:r>
            <w:r w:rsidR="00B2664D">
              <w:rPr>
                <w:rFonts w:ascii="Times New Roman" w:hAnsi="Times New Roman"/>
                <w:lang w:val=""/>
              </w:rPr>
              <w:t xml:space="preserve"> </w:t>
            </w:r>
            <w:r w:rsidR="00B2664D" w:rsidRPr="00875CC9">
              <w:rPr>
                <w:rFonts w:ascii="Times New Roman" w:hAnsi="Times New Roman"/>
                <w:lang w:val=""/>
              </w:rPr>
              <w:t xml:space="preserve">udostępniony w Biuletynie Informacji Publicznej na stronie podmiotowej Ministra </w:t>
            </w:r>
            <w:r w:rsidR="00B2664D">
              <w:rPr>
                <w:rFonts w:ascii="Times New Roman" w:hAnsi="Times New Roman"/>
                <w:lang w:val=""/>
              </w:rPr>
              <w:t>Zdrowia</w:t>
            </w:r>
            <w:r w:rsidR="00B2664D" w:rsidRPr="00875CC9">
              <w:rPr>
                <w:rFonts w:ascii="Times New Roman" w:hAnsi="Times New Roman"/>
                <w:lang w:val=""/>
              </w:rPr>
              <w:t xml:space="preserve"> zgodnie z art. 5 ustawy z dnia 7 lipca 2005 r. o działalności lobbingowej w procesie stanowienia prawa (Dz.</w:t>
            </w:r>
            <w:r w:rsidR="00B2664D">
              <w:rPr>
                <w:rFonts w:ascii="Times New Roman" w:hAnsi="Times New Roman"/>
                <w:lang w:val=""/>
              </w:rPr>
              <w:t> </w:t>
            </w:r>
            <w:r w:rsidR="00B2664D" w:rsidRPr="00875CC9">
              <w:rPr>
                <w:rFonts w:ascii="Times New Roman" w:hAnsi="Times New Roman"/>
                <w:lang w:val=""/>
              </w:rPr>
              <w:t>U. z</w:t>
            </w:r>
            <w:r w:rsidR="00B2664D">
              <w:rPr>
                <w:rFonts w:ascii="Times New Roman" w:hAnsi="Times New Roman"/>
                <w:lang w:val=""/>
              </w:rPr>
              <w:t> </w:t>
            </w:r>
            <w:r w:rsidR="00B2664D" w:rsidRPr="00875CC9">
              <w:rPr>
                <w:rFonts w:ascii="Times New Roman" w:hAnsi="Times New Roman"/>
                <w:lang w:val=""/>
              </w:rPr>
              <w:t>2017 r. poz. 248).</w:t>
            </w:r>
            <w:r w:rsidR="00B2664D">
              <w:rPr>
                <w:rFonts w:ascii="Times New Roman" w:hAnsi="Times New Roman"/>
                <w:lang w:val=""/>
              </w:rPr>
              <w:t xml:space="preserve"> </w:t>
            </w:r>
          </w:p>
          <w:p w14:paraId="41DDC528" w14:textId="21F1852B" w:rsidR="00BF1C55" w:rsidRPr="00BF1C55" w:rsidRDefault="00BF1C55" w:rsidP="00BF1C5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BF1C55">
              <w:rPr>
                <w:rFonts w:ascii="Times New Roman" w:hAnsi="Times New Roman"/>
              </w:rPr>
              <w:t xml:space="preserve">Skrócenie terminu wynika z konieczności pilnego wprowadzenia projektowanych zmian </w:t>
            </w:r>
            <w:r>
              <w:rPr>
                <w:rFonts w:ascii="Times New Roman" w:hAnsi="Times New Roman"/>
              </w:rPr>
              <w:t xml:space="preserve">usprawniających </w:t>
            </w:r>
            <w:r w:rsidRPr="00BF1C55">
              <w:rPr>
                <w:rFonts w:ascii="Times New Roman" w:hAnsi="Times New Roman"/>
              </w:rPr>
              <w:t xml:space="preserve"> prace Naczelnej Komisji Bioetycznej do spraw Badań Klinicznych. </w:t>
            </w:r>
          </w:p>
          <w:p w14:paraId="137FC9CA" w14:textId="41844644" w:rsidR="00BB49B5" w:rsidRPr="00B37C80" w:rsidRDefault="00BB49B5" w:rsidP="00BB49B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B49B5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i opiniowania zostaną omówione w raporcie </w:t>
            </w:r>
            <w:r w:rsidR="00C37B84">
              <w:rPr>
                <w:rFonts w:ascii="Times New Roman" w:hAnsi="Times New Roman"/>
                <w:color w:val="000000"/>
                <w:spacing w:val="-2"/>
              </w:rPr>
              <w:t xml:space="preserve">z </w:t>
            </w:r>
            <w:r w:rsidR="00C37B84" w:rsidRPr="00BB49B5">
              <w:rPr>
                <w:rFonts w:ascii="Times New Roman" w:hAnsi="Times New Roman"/>
                <w:color w:val="000000"/>
                <w:spacing w:val="-2"/>
              </w:rPr>
              <w:t xml:space="preserve">konsultacji publicznych i opiniowania </w:t>
            </w:r>
            <w:r w:rsidRPr="00BB49B5">
              <w:rPr>
                <w:rFonts w:ascii="Times New Roman" w:hAnsi="Times New Roman"/>
                <w:color w:val="000000"/>
                <w:spacing w:val="-2"/>
              </w:rPr>
              <w:t>dołączonym do</w:t>
            </w:r>
            <w:r w:rsidR="00C37B84">
              <w:rPr>
                <w:rFonts w:ascii="Times New Roman" w:hAnsi="Times New Roman"/>
                <w:color w:val="000000"/>
                <w:spacing w:val="-2"/>
              </w:rPr>
              <w:t xml:space="preserve"> oceny skutków regulacji</w:t>
            </w:r>
            <w:r w:rsidRPr="00BB49B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31678" w:rsidRPr="008B4FE6" w14:paraId="572D53DD" w14:textId="77777777" w:rsidTr="0090438E">
        <w:trPr>
          <w:trHeight w:val="363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AA997B1" w14:textId="77777777" w:rsidR="00131678" w:rsidRPr="008B4FE6" w:rsidRDefault="00131678" w:rsidP="00B2693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131678" w:rsidRPr="0028585E" w14:paraId="7D95501B" w14:textId="77777777" w:rsidTr="0090438E">
        <w:trPr>
          <w:trHeight w:val="142"/>
          <w:jc w:val="center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00F73B27" w14:textId="375B84CB" w:rsidR="00131678" w:rsidRPr="0028585E" w:rsidRDefault="00131678" w:rsidP="00C07AAA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 xml:space="preserve">(ceny stałe z </w:t>
            </w:r>
            <w:r w:rsidR="009A7D65" w:rsidRPr="0028585E">
              <w:rPr>
                <w:rFonts w:ascii="Times New Roman" w:hAnsi="Times New Roman"/>
                <w:color w:val="000000"/>
              </w:rPr>
              <w:t>20</w:t>
            </w:r>
            <w:r w:rsidR="009A7D65">
              <w:rPr>
                <w:rFonts w:ascii="Times New Roman" w:hAnsi="Times New Roman"/>
                <w:color w:val="000000"/>
              </w:rPr>
              <w:t>23</w:t>
            </w:r>
            <w:r w:rsidR="009A7D65" w:rsidRPr="0028585E">
              <w:rPr>
                <w:rFonts w:ascii="Times New Roman" w:hAnsi="Times New Roman"/>
                <w:color w:val="000000"/>
              </w:rPr>
              <w:t xml:space="preserve"> </w:t>
            </w:r>
            <w:r w:rsidRPr="0028585E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804" w:type="dxa"/>
            <w:gridSpan w:val="24"/>
            <w:shd w:val="clear" w:color="auto" w:fill="FFFFFF"/>
          </w:tcPr>
          <w:p w14:paraId="27A4EFEE" w14:textId="77777777" w:rsidR="00131678" w:rsidRPr="0028585E" w:rsidRDefault="00131678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31678" w:rsidRPr="0028585E" w14:paraId="2534830B" w14:textId="77777777" w:rsidTr="0090438E">
        <w:trPr>
          <w:trHeight w:val="142"/>
          <w:jc w:val="center"/>
        </w:trPr>
        <w:tc>
          <w:tcPr>
            <w:tcW w:w="3133" w:type="dxa"/>
            <w:gridSpan w:val="3"/>
            <w:vMerge/>
            <w:shd w:val="clear" w:color="auto" w:fill="FFFFFF"/>
          </w:tcPr>
          <w:p w14:paraId="642F0E8F" w14:textId="77777777" w:rsidR="00131678" w:rsidRPr="0028585E" w:rsidRDefault="00131678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4E7803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5EF2CA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7A951834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CE8784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3199E9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3EA5A03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8BDAD0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564078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27F40C71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8E2484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01BB125" w14:textId="77777777" w:rsidR="00131678" w:rsidRPr="0028585E" w:rsidRDefault="00131678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167C670" w14:textId="77777777" w:rsidR="00131678" w:rsidRPr="0028585E" w:rsidRDefault="00131678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131678" w:rsidRPr="0028585E" w14:paraId="3AF24E9A" w14:textId="77777777" w:rsidTr="0090438E">
        <w:trPr>
          <w:trHeight w:val="321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A93F3FE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9043D8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BA21B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9AD2F7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403DAD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EEB9C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B59DB1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135D18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8B2E96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2B1D0D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AA5B01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1606A2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3AD5E65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31678" w:rsidRPr="0028585E" w14:paraId="73497AB4" w14:textId="77777777" w:rsidTr="0090438E">
        <w:trPr>
          <w:trHeight w:val="321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CBE5038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C18723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0E2D48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900982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6DB2C0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135B48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45C908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E20E52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F03004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12E5CB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AA89A4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134351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3AE4B6E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31678" w:rsidRPr="0028585E" w14:paraId="30EB45D4" w14:textId="77777777" w:rsidTr="0090438E">
        <w:trPr>
          <w:trHeight w:val="344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4F553D5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29E09B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3E87F0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95F55C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96A08A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3DB07A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4C227E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780A6C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D8AD11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18382E5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D415F7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FF8FF25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3E612C3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39E1D34A" w14:textId="77777777" w:rsidTr="0090438E">
        <w:trPr>
          <w:trHeight w:val="344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CE2A0CB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D3F703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5C12AC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E93CA2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6BDE46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DEFEE6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89AAF7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14ABA0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ACF8F2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7B3F1F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562A95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DAC632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4964C4E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655361A3" w14:textId="77777777" w:rsidTr="0090438E">
        <w:trPr>
          <w:trHeight w:val="33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77398C6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8B8A41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E7B0C9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19F1D0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02A630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526AFB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82F7F4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131CBE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E6887A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B29F67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3E17F1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CD6386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713DA79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0C36A89A" w14:textId="77777777" w:rsidTr="0090438E">
        <w:trPr>
          <w:trHeight w:val="33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AD587F3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CCD580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CB7142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68E0A7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2355F4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4945ED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B080FB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F509C2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28268F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002AB5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1751FD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553AB7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55E6A43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139B9233" w14:textId="77777777" w:rsidTr="0090438E">
        <w:trPr>
          <w:trHeight w:val="351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7EECE86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F75B57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BF2DF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E53E64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3B6017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862291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8D007F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FCD6A3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66F91C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13826B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231B60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822422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5550B0C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4989D342" w14:textId="77777777" w:rsidTr="0090438E">
        <w:trPr>
          <w:trHeight w:val="351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2446D51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6229E8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927B22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2EA3C3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F15C13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0A2E2C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3E3C1A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38985E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DE1CA8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A2362F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A97F04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1E8974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530031F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6EB30420" w14:textId="77777777" w:rsidTr="0090438E">
        <w:trPr>
          <w:trHeight w:val="36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77A657D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D94566F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EC4BAF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C464D8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01846B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E5E008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746DBF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470561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4A26F6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69919E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A83E8C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185A15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6E8B3D1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16F72AD4" w14:textId="77777777" w:rsidTr="0090438E">
        <w:trPr>
          <w:trHeight w:val="36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4B23423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3870DF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F2E8742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707A50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B51C96A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BA8CE3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5FCAEC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9C935F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7276D3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E95AAD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EC7446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D973461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7CC1195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441BB13F" w14:textId="77777777" w:rsidTr="0090438E">
        <w:trPr>
          <w:trHeight w:val="357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332CE46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F20234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F732F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C6A05A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A683AD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BA68CD9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F76179C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07466A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C94051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594221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EEBB06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2DC460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47773AE8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77969DAB" w14:textId="77777777" w:rsidTr="0090438E">
        <w:trPr>
          <w:trHeight w:val="357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56B84FE" w14:textId="77777777" w:rsidR="00131678" w:rsidRPr="0028585E" w:rsidRDefault="00131678" w:rsidP="008513A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8D9EC9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B559740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D982F8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264B14E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BF2AD97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7FA52C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94726E4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9ABB6F3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B962BA5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B152896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5C305EB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45C6D2ED" w14:textId="77777777" w:rsidR="00131678" w:rsidRPr="0028585E" w:rsidRDefault="00131678" w:rsidP="00BB38C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1678" w:rsidRPr="0028585E" w14:paraId="464DF761" w14:textId="77777777" w:rsidTr="0090438E">
        <w:trPr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82BA593" w14:textId="77777777" w:rsidR="00131678" w:rsidRPr="0028585E" w:rsidRDefault="00131678" w:rsidP="004A4993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6D7BED5D" w14:textId="77777777" w:rsidR="00B2693E" w:rsidRPr="0028585E" w:rsidRDefault="00C07AAA" w:rsidP="00C07AA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Przyjęcie projektowanego rozpo</w:t>
            </w:r>
            <w:r w:rsidR="00BC32B4" w:rsidRPr="0028585E">
              <w:rPr>
                <w:rFonts w:ascii="Times New Roman" w:hAnsi="Times New Roman"/>
                <w:color w:val="000000"/>
              </w:rPr>
              <w:t xml:space="preserve">rządzenia nie spowoduje </w:t>
            </w:r>
            <w:r w:rsidR="00713229" w:rsidRPr="00713229">
              <w:rPr>
                <w:rFonts w:ascii="Times New Roman" w:hAnsi="Times New Roman"/>
                <w:color w:val="000000"/>
              </w:rPr>
              <w:t>skutków finansowych dla sektora finansów publicznych</w:t>
            </w:r>
            <w:r w:rsidR="00BC32B4" w:rsidRPr="0028585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31678" w:rsidRPr="0028585E" w14:paraId="2C21BC89" w14:textId="77777777" w:rsidTr="00DA1602">
        <w:trPr>
          <w:trHeight w:val="1271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381821F9" w14:textId="77777777" w:rsidR="00131678" w:rsidRPr="0028585E" w:rsidRDefault="00131678" w:rsidP="008217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10DC3037" w14:textId="77777777" w:rsidR="00131678" w:rsidRDefault="00131678" w:rsidP="00DA160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Projektowana regulacja nie będzie miała wpływu na sektor finansów publicznych, w tym budżet państwa i budżety jednostek samorządu terytorialnego.</w:t>
            </w:r>
          </w:p>
          <w:p w14:paraId="6A3270E4" w14:textId="10D07897" w:rsidR="00B9458B" w:rsidRPr="0028585E" w:rsidRDefault="00B9458B" w:rsidP="00DA160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31678" w:rsidRPr="008B4FE6" w14:paraId="3C2414A8" w14:textId="77777777" w:rsidTr="0090438E">
        <w:trPr>
          <w:trHeight w:val="345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254AA837" w14:textId="77777777" w:rsidR="00131678" w:rsidRPr="008B4FE6" w:rsidRDefault="00131678" w:rsidP="00B2693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>orców oraz na rodzinę, obywateli i gospodarstwa domowe</w:t>
            </w:r>
          </w:p>
        </w:tc>
      </w:tr>
      <w:tr w:rsidR="00131678" w:rsidRPr="0028585E" w14:paraId="6261F10C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4F39403B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  <w:spacing w:val="-2"/>
              </w:rPr>
              <w:lastRenderedPageBreak/>
              <w:t>Skutki</w:t>
            </w:r>
          </w:p>
        </w:tc>
      </w:tr>
      <w:tr w:rsidR="00131678" w:rsidRPr="0028585E" w14:paraId="248D5114" w14:textId="77777777" w:rsidTr="0090438E">
        <w:trPr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62693C7D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426D29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162B15B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23AECD1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499BD1F6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79D2A181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08ADB95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A16B794" w14:textId="77777777" w:rsidR="00131678" w:rsidRPr="0028585E" w:rsidRDefault="00131678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28585E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28585E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131678" w:rsidRPr="0028585E" w14:paraId="23630325" w14:textId="77777777" w:rsidTr="0090438E">
        <w:trPr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5C6C3B77" w14:textId="77777777" w:rsidR="00131678" w:rsidRPr="0028585E" w:rsidRDefault="00131678" w:rsidP="006F78C4">
            <w:pPr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F321DD8" w14:textId="77777777" w:rsidR="00131678" w:rsidRPr="0028585E" w:rsidRDefault="00131678" w:rsidP="006F78C4">
            <w:pPr>
              <w:rPr>
                <w:rFonts w:ascii="Times New Roman" w:hAnsi="Times New Roman"/>
                <w:spacing w:val="-2"/>
              </w:rPr>
            </w:pPr>
            <w:r w:rsidRPr="0028585E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0AFCA9A" w14:textId="77777777" w:rsidR="00131678" w:rsidRPr="0028585E" w:rsidRDefault="00131678" w:rsidP="006F78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2FC3555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5096F158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9B59EE6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79DC6E7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5AE47497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959BB8C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27C928B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100ED08A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31678" w:rsidRPr="0028585E" w14:paraId="191ED343" w14:textId="77777777" w:rsidTr="0090438E">
        <w:trPr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287C6115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A536C6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B332318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3D62F68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AE55A89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5BCF049F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2FF13336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346643A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4E7FD518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31678" w:rsidRPr="0028585E" w14:paraId="6E99AC5E" w14:textId="77777777" w:rsidTr="0090438E">
        <w:trPr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4E9B6723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AD09397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BAD494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07A31F9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ADBC8D7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1CB4C077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D485F55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C7E325F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505F2EF7" w14:textId="77777777" w:rsidR="00131678" w:rsidRPr="0028585E" w:rsidRDefault="00131678" w:rsidP="00EC65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8585E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31678" w:rsidRPr="0028585E" w14:paraId="219267EC" w14:textId="77777777" w:rsidTr="0090438E">
        <w:trPr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18768EE8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7551E65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0"/>
            <w:shd w:val="clear" w:color="auto" w:fill="FFFFFF"/>
            <w:vAlign w:val="center"/>
          </w:tcPr>
          <w:p w14:paraId="377BC070" w14:textId="77777777" w:rsidR="00131678" w:rsidRPr="0028585E" w:rsidRDefault="0028585E" w:rsidP="00285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wpływu. </w:t>
            </w:r>
          </w:p>
        </w:tc>
      </w:tr>
      <w:tr w:rsidR="00131678" w:rsidRPr="0028585E" w14:paraId="0817A27C" w14:textId="77777777" w:rsidTr="0090438E">
        <w:trPr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08A99D68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E085BFF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0"/>
            <w:shd w:val="clear" w:color="auto" w:fill="FFFFFF"/>
            <w:vAlign w:val="center"/>
          </w:tcPr>
          <w:p w14:paraId="51BE2ED6" w14:textId="77777777" w:rsidR="00131678" w:rsidRPr="0028585E" w:rsidRDefault="0028585E" w:rsidP="00285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wpływu. </w:t>
            </w:r>
          </w:p>
        </w:tc>
      </w:tr>
      <w:tr w:rsidR="00131678" w:rsidRPr="0028585E" w14:paraId="024C44C6" w14:textId="77777777" w:rsidTr="0090438E">
        <w:trPr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0DC12141" w14:textId="77777777" w:rsidR="00131678" w:rsidRPr="0028585E" w:rsidRDefault="00131678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525628D" w14:textId="77777777" w:rsidR="00131678" w:rsidRPr="0028585E" w:rsidRDefault="00131678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</w:rPr>
              <w:t>rodzina, obywatele oraz gospodarstwa domowe</w:t>
            </w:r>
            <w:r w:rsidRPr="0028585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0"/>
            <w:shd w:val="clear" w:color="auto" w:fill="FFFFFF"/>
            <w:vAlign w:val="center"/>
          </w:tcPr>
          <w:p w14:paraId="46428DF2" w14:textId="4157AC40" w:rsidR="00131678" w:rsidRPr="00021266" w:rsidRDefault="00021266" w:rsidP="00DA160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28585E" w:rsidRPr="0028585E" w14:paraId="54D75900" w14:textId="77777777" w:rsidTr="0090438E">
        <w:trPr>
          <w:trHeight w:val="596"/>
          <w:jc w:val="center"/>
        </w:trPr>
        <w:tc>
          <w:tcPr>
            <w:tcW w:w="1596" w:type="dxa"/>
            <w:shd w:val="clear" w:color="auto" w:fill="FFFFFF"/>
          </w:tcPr>
          <w:p w14:paraId="42F71AD3" w14:textId="77777777" w:rsidR="0028585E" w:rsidRPr="0028585E" w:rsidRDefault="0028585E" w:rsidP="00811D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CCCE1A8" w14:textId="519DB20B" w:rsidR="0028585E" w:rsidRPr="0028585E" w:rsidRDefault="0028585E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28585E">
              <w:rPr>
                <w:rFonts w:ascii="Times New Roman" w:hAnsi="Times New Roman"/>
              </w:rPr>
              <w:t xml:space="preserve">osoby starsze </w:t>
            </w:r>
            <w:r w:rsidRPr="0028585E">
              <w:rPr>
                <w:rFonts w:ascii="Times New Roman" w:hAnsi="Times New Roman"/>
              </w:rPr>
              <w:br/>
              <w:t xml:space="preserve">i </w:t>
            </w:r>
            <w:r w:rsidR="00C37B84">
              <w:rPr>
                <w:rFonts w:ascii="Times New Roman" w:hAnsi="Times New Roman"/>
              </w:rPr>
              <w:t xml:space="preserve">osoby </w:t>
            </w:r>
            <w:r w:rsidRPr="0028585E">
              <w:rPr>
                <w:rFonts w:ascii="Times New Roman" w:hAnsi="Times New Roman"/>
              </w:rPr>
              <w:t>niepełnosprawne</w:t>
            </w:r>
          </w:p>
        </w:tc>
        <w:tc>
          <w:tcPr>
            <w:tcW w:w="7048" w:type="dxa"/>
            <w:gridSpan w:val="20"/>
            <w:shd w:val="clear" w:color="auto" w:fill="FFFFFF"/>
            <w:vAlign w:val="center"/>
          </w:tcPr>
          <w:p w14:paraId="7AF99BB5" w14:textId="77777777" w:rsidR="0028585E" w:rsidRPr="0028585E" w:rsidRDefault="0028585E" w:rsidP="0028585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wpływu. </w:t>
            </w:r>
          </w:p>
        </w:tc>
      </w:tr>
      <w:tr w:rsidR="008A373F" w:rsidRPr="0028585E" w14:paraId="537C9902" w14:textId="77777777" w:rsidTr="0090438E">
        <w:trPr>
          <w:trHeight w:val="142"/>
          <w:jc w:val="center"/>
        </w:trPr>
        <w:tc>
          <w:tcPr>
            <w:tcW w:w="1596" w:type="dxa"/>
            <w:shd w:val="clear" w:color="auto" w:fill="FFFFFF"/>
          </w:tcPr>
          <w:p w14:paraId="647E44B7" w14:textId="77777777" w:rsidR="008A373F" w:rsidRPr="00CC1792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C1792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B1F1A03" w14:textId="77777777" w:rsidR="008A373F" w:rsidRPr="00CC1792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0"/>
            <w:shd w:val="clear" w:color="auto" w:fill="FFFFFF"/>
            <w:vAlign w:val="center"/>
          </w:tcPr>
          <w:p w14:paraId="5335D6C1" w14:textId="77777777" w:rsidR="008A373F" w:rsidRPr="00CC1792" w:rsidRDefault="008A373F" w:rsidP="008A37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A373F" w:rsidRPr="0028585E" w14:paraId="01255B56" w14:textId="77777777" w:rsidTr="0090438E">
        <w:trPr>
          <w:trHeight w:val="1267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6E06B4F8" w14:textId="77777777" w:rsidR="008A373F" w:rsidRPr="0028585E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125986BB" w14:textId="77777777" w:rsidR="008A373F" w:rsidRPr="0028585E" w:rsidRDefault="008A373F" w:rsidP="008A37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585E">
              <w:rPr>
                <w:rFonts w:ascii="Times New Roman" w:hAnsi="Times New Roman"/>
                <w:color w:val="000000"/>
              </w:rPr>
              <w:t>Projektowane rozporządzenie nie będzie miało wpływu na konkurencyjność gospodarki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28585E">
              <w:rPr>
                <w:rFonts w:ascii="Times New Roman" w:hAnsi="Times New Roman"/>
                <w:color w:val="000000"/>
              </w:rPr>
              <w:t xml:space="preserve">przedsiębiorczość. </w:t>
            </w:r>
          </w:p>
          <w:p w14:paraId="0F92787F" w14:textId="77777777" w:rsidR="008A373F" w:rsidRPr="0028585E" w:rsidRDefault="008A373F" w:rsidP="008A373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A373F" w:rsidRPr="008B4FE6" w14:paraId="1C55B6E3" w14:textId="77777777" w:rsidTr="0090438E">
        <w:trPr>
          <w:trHeight w:val="342"/>
          <w:jc w:val="center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12D9264" w14:textId="77777777" w:rsidR="008A373F" w:rsidRPr="008B4FE6" w:rsidRDefault="008A373F" w:rsidP="008A373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8A373F" w:rsidRPr="008B4FE6" w14:paraId="3B01A007" w14:textId="77777777" w:rsidTr="0090438E">
        <w:trPr>
          <w:trHeight w:val="151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1F55D60E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8A373F" w:rsidRPr="008B4FE6" w14:paraId="2583051E" w14:textId="77777777" w:rsidTr="0090438E">
        <w:trPr>
          <w:trHeight w:val="946"/>
          <w:jc w:val="center"/>
        </w:trPr>
        <w:tc>
          <w:tcPr>
            <w:tcW w:w="5111" w:type="dxa"/>
            <w:gridSpan w:val="10"/>
            <w:shd w:val="clear" w:color="auto" w:fill="FFFFFF"/>
          </w:tcPr>
          <w:p w14:paraId="486512EF" w14:textId="77777777" w:rsidR="008A373F" w:rsidRDefault="008A373F" w:rsidP="008A373F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89429A6" w14:textId="77777777" w:rsidR="008A373F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70EA272" w14:textId="77777777" w:rsidR="008A373F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77A9A6D" w14:textId="77777777" w:rsidR="008A373F" w:rsidRDefault="008A373F" w:rsidP="008A3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8A373F" w:rsidRPr="008B4FE6" w14:paraId="093E285D" w14:textId="77777777" w:rsidTr="0090438E">
        <w:trPr>
          <w:trHeight w:val="1245"/>
          <w:jc w:val="center"/>
        </w:trPr>
        <w:tc>
          <w:tcPr>
            <w:tcW w:w="5111" w:type="dxa"/>
            <w:gridSpan w:val="10"/>
            <w:shd w:val="clear" w:color="auto" w:fill="FFFFFF"/>
          </w:tcPr>
          <w:p w14:paraId="2E68083F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8112323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47DF624" w14:textId="77777777" w:rsidR="008A373F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F58A9A8" w14:textId="77777777" w:rsidR="008A373F" w:rsidRPr="008B4FE6" w:rsidRDefault="008A373F" w:rsidP="008A373F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7715F22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5B71AB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624908E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3CA4C7C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2E51406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A373F" w:rsidRPr="008B4FE6" w14:paraId="20DC1B42" w14:textId="77777777" w:rsidTr="0090438E">
        <w:trPr>
          <w:trHeight w:val="870"/>
          <w:jc w:val="center"/>
        </w:trPr>
        <w:tc>
          <w:tcPr>
            <w:tcW w:w="5111" w:type="dxa"/>
            <w:gridSpan w:val="10"/>
            <w:shd w:val="clear" w:color="auto" w:fill="FFFFFF"/>
          </w:tcPr>
          <w:p w14:paraId="309F26C4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49F02C5" w14:textId="77777777" w:rsidR="008A373F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33A2A0A" w14:textId="77777777" w:rsidR="008A373F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96B9FBF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4F146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8A373F" w:rsidRPr="008B4FE6" w14:paraId="4376A885" w14:textId="77777777" w:rsidTr="0090438E">
        <w:trPr>
          <w:trHeight w:val="630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370E87A5" w14:textId="77777777" w:rsidR="008A373F" w:rsidRPr="008B4FE6" w:rsidRDefault="008A373F" w:rsidP="008A373F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35C8">
              <w:rPr>
                <w:rFonts w:ascii="Times New Roman" w:hAnsi="Times New Roman"/>
                <w:color w:val="000000"/>
              </w:rPr>
              <w:t>Przedmiotowe</w:t>
            </w:r>
            <w:r>
              <w:rPr>
                <w:rFonts w:ascii="Times New Roman" w:hAnsi="Times New Roman"/>
                <w:color w:val="000000"/>
              </w:rPr>
              <w:t xml:space="preserve"> rozporządzenie nie wprowadza</w:t>
            </w:r>
            <w:r w:rsidRPr="004335C8">
              <w:rPr>
                <w:rFonts w:ascii="Times New Roman" w:hAnsi="Times New Roman"/>
                <w:color w:val="000000"/>
              </w:rPr>
              <w:t xml:space="preserve"> żadnych zmian w </w:t>
            </w:r>
            <w:r>
              <w:rPr>
                <w:rFonts w:ascii="Times New Roman" w:hAnsi="Times New Roman"/>
                <w:color w:val="000000"/>
              </w:rPr>
              <w:t>tym zakresie</w:t>
            </w:r>
            <w:r w:rsidRPr="004335C8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8A373F" w:rsidRPr="008B4FE6" w14:paraId="402AA5B1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3A2BDF84" w14:textId="77777777" w:rsidR="008A373F" w:rsidRPr="008B4FE6" w:rsidRDefault="008A373F" w:rsidP="008A373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8A373F" w:rsidRPr="008B4FE6" w14:paraId="48BBC5F3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auto"/>
          </w:tcPr>
          <w:p w14:paraId="3F234FDE" w14:textId="77777777" w:rsidR="008A373F" w:rsidRPr="008B4FE6" w:rsidRDefault="008A373F" w:rsidP="008A373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 nie będzie miało wpływu na rynek pracy.</w:t>
            </w:r>
          </w:p>
        </w:tc>
      </w:tr>
      <w:tr w:rsidR="008A373F" w:rsidRPr="008B4FE6" w14:paraId="01DC9DDC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66A5CDFF" w14:textId="77777777" w:rsidR="008A373F" w:rsidRPr="008B4FE6" w:rsidRDefault="008A373F" w:rsidP="008A373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8A373F" w:rsidRPr="008B4FE6" w14:paraId="1F1184BD" w14:textId="77777777" w:rsidTr="0090438E">
        <w:trPr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07A0BBD2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C5211ED" w14:textId="77777777" w:rsidR="008A373F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3868921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4B4791F3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3B704C0" w14:textId="77777777" w:rsidR="008A373F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6F3DFBAF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37ED62C8" w14:textId="77777777" w:rsidR="008A373F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8F37663" w14:textId="2FDA4671" w:rsidR="008A373F" w:rsidRPr="008B4FE6" w:rsidRDefault="00021266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278D6">
              <w:rPr>
                <w:rFonts w:ascii="Times New Roman" w:hAnsi="Times New Roman"/>
                <w:color w:val="000000"/>
              </w:rPr>
            </w:r>
            <w:r w:rsidR="000278D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8A373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A373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8A373F" w:rsidRPr="008B4FE6" w14:paraId="7C6DE508" w14:textId="77777777" w:rsidTr="0090438E">
        <w:trPr>
          <w:trHeight w:val="712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E1E1927" w14:textId="77777777" w:rsidR="008A373F" w:rsidRPr="008B4FE6" w:rsidRDefault="008A373F" w:rsidP="008A37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63B7ECD8" w14:textId="77777777" w:rsidR="008A373F" w:rsidRPr="008B4FE6" w:rsidRDefault="008A373F" w:rsidP="008A37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C712A3A" w14:textId="77777777" w:rsidR="008A373F" w:rsidRPr="008B4FE6" w:rsidRDefault="008A373F" w:rsidP="008A37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A373F" w:rsidRPr="008B4FE6" w14:paraId="3BBAA59C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1EF86EAD" w14:textId="77777777" w:rsidR="008A373F" w:rsidRPr="00627221" w:rsidRDefault="008A373F" w:rsidP="008A373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8A373F" w:rsidRPr="008B4FE6" w14:paraId="23593CBD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02702572" w14:textId="0F930C75" w:rsidR="008A373F" w:rsidRPr="00B37C80" w:rsidRDefault="008A373F" w:rsidP="008A373F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Projektowane rozporządzenie wejdzie w życie </w:t>
            </w:r>
            <w:r w:rsidR="00021266">
              <w:rPr>
                <w:rFonts w:ascii="Times New Roman" w:hAnsi="Times New Roman"/>
                <w:spacing w:val="-2"/>
              </w:rPr>
              <w:t>w terminie 14 dni od dnia ogłoszenia</w:t>
            </w:r>
          </w:p>
        </w:tc>
      </w:tr>
      <w:tr w:rsidR="008A373F" w:rsidRPr="008B4FE6" w14:paraId="7A3023BC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317BEC97" w14:textId="77777777" w:rsidR="008A373F" w:rsidRPr="008B4FE6" w:rsidRDefault="008A373F" w:rsidP="008A373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8A373F" w:rsidRPr="008B4FE6" w14:paraId="2B48425F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23D7DD0F" w14:textId="77777777" w:rsidR="008A373F" w:rsidRPr="00B37C80" w:rsidRDefault="008A373F" w:rsidP="008A373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Z uwagi na zakres projektowanego rozporządzenia brak jest konieczności ewaluacji efektów projektu.</w:t>
            </w:r>
          </w:p>
        </w:tc>
      </w:tr>
      <w:tr w:rsidR="008A373F" w:rsidRPr="008B4FE6" w14:paraId="0844258E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99CCFF"/>
          </w:tcPr>
          <w:p w14:paraId="0E26F9A7" w14:textId="77777777" w:rsidR="008A373F" w:rsidRPr="008B4FE6" w:rsidRDefault="008A373F" w:rsidP="008A373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A373F" w:rsidRPr="008B4FE6" w14:paraId="6C91EFEB" w14:textId="77777777" w:rsidTr="0090438E">
        <w:trPr>
          <w:trHeight w:val="142"/>
          <w:jc w:val="center"/>
        </w:trPr>
        <w:tc>
          <w:tcPr>
            <w:tcW w:w="10937" w:type="dxa"/>
            <w:gridSpan w:val="27"/>
            <w:shd w:val="clear" w:color="auto" w:fill="FFFFFF"/>
          </w:tcPr>
          <w:p w14:paraId="396180AB" w14:textId="0CB39ED2" w:rsidR="008A373F" w:rsidRPr="00B37C80" w:rsidRDefault="00750568" w:rsidP="008A373F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DA7B2A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14:paraId="35ADF55F" w14:textId="77777777" w:rsidR="006176ED" w:rsidRPr="00522D94" w:rsidRDefault="006176ED" w:rsidP="00586215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5BA1" w14:textId="77777777" w:rsidR="00261CFA" w:rsidRDefault="00261CFA" w:rsidP="00044739">
      <w:pPr>
        <w:spacing w:line="240" w:lineRule="auto"/>
      </w:pPr>
      <w:r>
        <w:separator/>
      </w:r>
    </w:p>
  </w:endnote>
  <w:endnote w:type="continuationSeparator" w:id="0">
    <w:p w14:paraId="70FC9335" w14:textId="77777777" w:rsidR="00261CFA" w:rsidRDefault="00261CF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92C5" w14:textId="77777777" w:rsidR="00261CFA" w:rsidRDefault="00261CFA" w:rsidP="00044739">
      <w:pPr>
        <w:spacing w:line="240" w:lineRule="auto"/>
      </w:pPr>
      <w:r>
        <w:separator/>
      </w:r>
    </w:p>
  </w:footnote>
  <w:footnote w:type="continuationSeparator" w:id="0">
    <w:p w14:paraId="28D9D606" w14:textId="77777777" w:rsidR="00261CFA" w:rsidRDefault="00261CF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986"/>
    <w:multiLevelType w:val="hybridMultilevel"/>
    <w:tmpl w:val="2F66C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4687D94"/>
    <w:multiLevelType w:val="hybridMultilevel"/>
    <w:tmpl w:val="6D2EE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3F6AA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F3C97"/>
    <w:multiLevelType w:val="hybridMultilevel"/>
    <w:tmpl w:val="6D2EE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3F6AA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A5A0B"/>
    <w:multiLevelType w:val="hybridMultilevel"/>
    <w:tmpl w:val="C92AC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5956C13"/>
    <w:multiLevelType w:val="hybridMultilevel"/>
    <w:tmpl w:val="C262C88E"/>
    <w:lvl w:ilvl="0" w:tplc="DFD2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ED348F44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3CBF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E6EF9"/>
    <w:multiLevelType w:val="hybridMultilevel"/>
    <w:tmpl w:val="3634E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2F30BD"/>
    <w:multiLevelType w:val="hybridMultilevel"/>
    <w:tmpl w:val="DAA48992"/>
    <w:lvl w:ilvl="0" w:tplc="DFD214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D047ED8"/>
    <w:multiLevelType w:val="hybridMultilevel"/>
    <w:tmpl w:val="0F2EB430"/>
    <w:lvl w:ilvl="0" w:tplc="DFD2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 w15:restartNumberingAfterBreak="0">
    <w:nsid w:val="4AC9437F"/>
    <w:multiLevelType w:val="hybridMultilevel"/>
    <w:tmpl w:val="6178D3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8160C52"/>
    <w:multiLevelType w:val="hybridMultilevel"/>
    <w:tmpl w:val="8C528AD2"/>
    <w:lvl w:ilvl="0" w:tplc="DFD214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763C4"/>
    <w:multiLevelType w:val="hybridMultilevel"/>
    <w:tmpl w:val="AF18A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1885E3C"/>
    <w:multiLevelType w:val="hybridMultilevel"/>
    <w:tmpl w:val="E6EEB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3883590"/>
    <w:multiLevelType w:val="hybridMultilevel"/>
    <w:tmpl w:val="267A5ED4"/>
    <w:lvl w:ilvl="0" w:tplc="DFD2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369D1"/>
    <w:multiLevelType w:val="hybridMultilevel"/>
    <w:tmpl w:val="F08A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209EC"/>
    <w:multiLevelType w:val="hybridMultilevel"/>
    <w:tmpl w:val="A3F2E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B17CAE"/>
    <w:multiLevelType w:val="hybridMultilevel"/>
    <w:tmpl w:val="9F842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81003064">
    <w:abstractNumId w:val="7"/>
  </w:num>
  <w:num w:numId="2" w16cid:durableId="1116486730">
    <w:abstractNumId w:val="0"/>
  </w:num>
  <w:num w:numId="3" w16cid:durableId="688334128">
    <w:abstractNumId w:val="13"/>
  </w:num>
  <w:num w:numId="4" w16cid:durableId="1643609237">
    <w:abstractNumId w:val="29"/>
  </w:num>
  <w:num w:numId="5" w16cid:durableId="670644633">
    <w:abstractNumId w:val="2"/>
  </w:num>
  <w:num w:numId="6" w16cid:durableId="1787844295">
    <w:abstractNumId w:val="12"/>
  </w:num>
  <w:num w:numId="7" w16cid:durableId="1471358759">
    <w:abstractNumId w:val="19"/>
  </w:num>
  <w:num w:numId="8" w16cid:durableId="1123424669">
    <w:abstractNumId w:val="8"/>
  </w:num>
  <w:num w:numId="9" w16cid:durableId="1093086685">
    <w:abstractNumId w:val="22"/>
  </w:num>
  <w:num w:numId="10" w16cid:durableId="1121145962">
    <w:abstractNumId w:val="17"/>
  </w:num>
  <w:num w:numId="11" w16cid:durableId="660818208">
    <w:abstractNumId w:val="20"/>
  </w:num>
  <w:num w:numId="12" w16cid:durableId="572590175">
    <w:abstractNumId w:val="3"/>
  </w:num>
  <w:num w:numId="13" w16cid:durableId="1622033936">
    <w:abstractNumId w:val="15"/>
  </w:num>
  <w:num w:numId="14" w16cid:durableId="348920304">
    <w:abstractNumId w:val="30"/>
  </w:num>
  <w:num w:numId="15" w16cid:durableId="827331801">
    <w:abstractNumId w:val="25"/>
  </w:num>
  <w:num w:numId="16" w16cid:durableId="1996375634">
    <w:abstractNumId w:val="27"/>
  </w:num>
  <w:num w:numId="17" w16cid:durableId="159010373">
    <w:abstractNumId w:val="9"/>
  </w:num>
  <w:num w:numId="18" w16cid:durableId="1957175530">
    <w:abstractNumId w:val="34"/>
  </w:num>
  <w:num w:numId="19" w16cid:durableId="1879195507">
    <w:abstractNumId w:val="36"/>
  </w:num>
  <w:num w:numId="20" w16cid:durableId="1930965638">
    <w:abstractNumId w:val="26"/>
  </w:num>
  <w:num w:numId="21" w16cid:durableId="1835535330">
    <w:abstractNumId w:val="10"/>
  </w:num>
  <w:num w:numId="22" w16cid:durableId="384916709">
    <w:abstractNumId w:val="32"/>
  </w:num>
  <w:num w:numId="23" w16cid:durableId="37559387">
    <w:abstractNumId w:val="31"/>
  </w:num>
  <w:num w:numId="24" w16cid:durableId="344481566">
    <w:abstractNumId w:val="18"/>
  </w:num>
  <w:num w:numId="25" w16cid:durableId="1138300065">
    <w:abstractNumId w:val="11"/>
  </w:num>
  <w:num w:numId="26" w16cid:durableId="435103262">
    <w:abstractNumId w:val="16"/>
  </w:num>
  <w:num w:numId="27" w16cid:durableId="247664480">
    <w:abstractNumId w:val="14"/>
  </w:num>
  <w:num w:numId="28" w16cid:durableId="269557738">
    <w:abstractNumId w:val="35"/>
  </w:num>
  <w:num w:numId="29" w16cid:durableId="2038655055">
    <w:abstractNumId w:val="28"/>
  </w:num>
  <w:num w:numId="30" w16cid:durableId="1782796949">
    <w:abstractNumId w:val="4"/>
  </w:num>
  <w:num w:numId="31" w16cid:durableId="1624538713">
    <w:abstractNumId w:val="1"/>
  </w:num>
  <w:num w:numId="32" w16cid:durableId="1706710808">
    <w:abstractNumId w:val="23"/>
  </w:num>
  <w:num w:numId="33" w16cid:durableId="106396013">
    <w:abstractNumId w:val="5"/>
  </w:num>
  <w:num w:numId="34" w16cid:durableId="191265908">
    <w:abstractNumId w:val="24"/>
  </w:num>
  <w:num w:numId="35" w16cid:durableId="1009218170">
    <w:abstractNumId w:val="21"/>
  </w:num>
  <w:num w:numId="36" w16cid:durableId="178549009">
    <w:abstractNumId w:val="33"/>
  </w:num>
  <w:num w:numId="37" w16cid:durableId="534544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7F"/>
    <w:rsid w:val="000015EE"/>
    <w:rsid w:val="00001AC0"/>
    <w:rsid w:val="000022D5"/>
    <w:rsid w:val="00004C6A"/>
    <w:rsid w:val="00006098"/>
    <w:rsid w:val="0001051E"/>
    <w:rsid w:val="00010F86"/>
    <w:rsid w:val="00012D11"/>
    <w:rsid w:val="00013C32"/>
    <w:rsid w:val="00013EB5"/>
    <w:rsid w:val="00021266"/>
    <w:rsid w:val="00023836"/>
    <w:rsid w:val="0002413C"/>
    <w:rsid w:val="000278D6"/>
    <w:rsid w:val="00034918"/>
    <w:rsid w:val="000356A9"/>
    <w:rsid w:val="00037366"/>
    <w:rsid w:val="00043079"/>
    <w:rsid w:val="00044138"/>
    <w:rsid w:val="00044739"/>
    <w:rsid w:val="00051637"/>
    <w:rsid w:val="00052FA7"/>
    <w:rsid w:val="00054DF4"/>
    <w:rsid w:val="00054FE8"/>
    <w:rsid w:val="00056112"/>
    <w:rsid w:val="00056681"/>
    <w:rsid w:val="00062642"/>
    <w:rsid w:val="000648A7"/>
    <w:rsid w:val="00065EE6"/>
    <w:rsid w:val="0006618B"/>
    <w:rsid w:val="000670C0"/>
    <w:rsid w:val="00071B99"/>
    <w:rsid w:val="00072E55"/>
    <w:rsid w:val="00074513"/>
    <w:rsid w:val="000756E5"/>
    <w:rsid w:val="00075977"/>
    <w:rsid w:val="0007704E"/>
    <w:rsid w:val="00080EC8"/>
    <w:rsid w:val="000826B0"/>
    <w:rsid w:val="000944AC"/>
    <w:rsid w:val="00094CB9"/>
    <w:rsid w:val="000956B2"/>
    <w:rsid w:val="000969E7"/>
    <w:rsid w:val="000A23DE"/>
    <w:rsid w:val="000A4020"/>
    <w:rsid w:val="000A7554"/>
    <w:rsid w:val="000B54FB"/>
    <w:rsid w:val="000C04D9"/>
    <w:rsid w:val="000C29B0"/>
    <w:rsid w:val="000C76FC"/>
    <w:rsid w:val="000D25BA"/>
    <w:rsid w:val="000D38FC"/>
    <w:rsid w:val="000D4D90"/>
    <w:rsid w:val="000D5FAD"/>
    <w:rsid w:val="000E2D10"/>
    <w:rsid w:val="000E7089"/>
    <w:rsid w:val="000E796A"/>
    <w:rsid w:val="000F1876"/>
    <w:rsid w:val="000F3204"/>
    <w:rsid w:val="000F6B5B"/>
    <w:rsid w:val="0010096C"/>
    <w:rsid w:val="0010168B"/>
    <w:rsid w:val="0010548B"/>
    <w:rsid w:val="001072D1"/>
    <w:rsid w:val="00107AEB"/>
    <w:rsid w:val="00111D03"/>
    <w:rsid w:val="00117017"/>
    <w:rsid w:val="00125C70"/>
    <w:rsid w:val="00130E8E"/>
    <w:rsid w:val="00131678"/>
    <w:rsid w:val="00131D70"/>
    <w:rsid w:val="0013216E"/>
    <w:rsid w:val="001337DD"/>
    <w:rsid w:val="001361B6"/>
    <w:rsid w:val="001401B5"/>
    <w:rsid w:val="00140BE3"/>
    <w:rsid w:val="001422B9"/>
    <w:rsid w:val="0014665F"/>
    <w:rsid w:val="00153464"/>
    <w:rsid w:val="001541B3"/>
    <w:rsid w:val="00155446"/>
    <w:rsid w:val="00155B15"/>
    <w:rsid w:val="001625BE"/>
    <w:rsid w:val="001643A4"/>
    <w:rsid w:val="00165F93"/>
    <w:rsid w:val="001668F2"/>
    <w:rsid w:val="0017006A"/>
    <w:rsid w:val="001727BB"/>
    <w:rsid w:val="00180D25"/>
    <w:rsid w:val="001815F6"/>
    <w:rsid w:val="0018318D"/>
    <w:rsid w:val="0018572C"/>
    <w:rsid w:val="00187E79"/>
    <w:rsid w:val="00187F0D"/>
    <w:rsid w:val="00192CC5"/>
    <w:rsid w:val="00195206"/>
    <w:rsid w:val="001956A7"/>
    <w:rsid w:val="00197435"/>
    <w:rsid w:val="001A118A"/>
    <w:rsid w:val="001A2019"/>
    <w:rsid w:val="001A27F4"/>
    <w:rsid w:val="001A2D95"/>
    <w:rsid w:val="001A332A"/>
    <w:rsid w:val="001A6B2D"/>
    <w:rsid w:val="001B011A"/>
    <w:rsid w:val="001B3460"/>
    <w:rsid w:val="001B4593"/>
    <w:rsid w:val="001B48ED"/>
    <w:rsid w:val="001B4CA1"/>
    <w:rsid w:val="001B75D8"/>
    <w:rsid w:val="001B77CF"/>
    <w:rsid w:val="001C03D7"/>
    <w:rsid w:val="001C1060"/>
    <w:rsid w:val="001C2B05"/>
    <w:rsid w:val="001C3C63"/>
    <w:rsid w:val="001C48BE"/>
    <w:rsid w:val="001C4EA1"/>
    <w:rsid w:val="001C595F"/>
    <w:rsid w:val="001C5AF9"/>
    <w:rsid w:val="001C6C1F"/>
    <w:rsid w:val="001D3561"/>
    <w:rsid w:val="001D4732"/>
    <w:rsid w:val="001D4F3A"/>
    <w:rsid w:val="001D5238"/>
    <w:rsid w:val="001D56FA"/>
    <w:rsid w:val="001D6A3C"/>
    <w:rsid w:val="001D6D51"/>
    <w:rsid w:val="001D7EA7"/>
    <w:rsid w:val="001E35B9"/>
    <w:rsid w:val="001E72DE"/>
    <w:rsid w:val="001F4219"/>
    <w:rsid w:val="001F653A"/>
    <w:rsid w:val="001F6979"/>
    <w:rsid w:val="00202BC6"/>
    <w:rsid w:val="00203EAD"/>
    <w:rsid w:val="00205141"/>
    <w:rsid w:val="0020516B"/>
    <w:rsid w:val="00210563"/>
    <w:rsid w:val="00213559"/>
    <w:rsid w:val="00213BA3"/>
    <w:rsid w:val="00213EFD"/>
    <w:rsid w:val="002172F1"/>
    <w:rsid w:val="00220F14"/>
    <w:rsid w:val="00223C7B"/>
    <w:rsid w:val="00224427"/>
    <w:rsid w:val="00224AB1"/>
    <w:rsid w:val="0022687A"/>
    <w:rsid w:val="00227DFA"/>
    <w:rsid w:val="00230728"/>
    <w:rsid w:val="00234040"/>
    <w:rsid w:val="00235CD2"/>
    <w:rsid w:val="00236859"/>
    <w:rsid w:val="00253AD8"/>
    <w:rsid w:val="00254DED"/>
    <w:rsid w:val="00255619"/>
    <w:rsid w:val="00255DAD"/>
    <w:rsid w:val="00256108"/>
    <w:rsid w:val="00260F33"/>
    <w:rsid w:val="002613BD"/>
    <w:rsid w:val="00261CFA"/>
    <w:rsid w:val="002624F1"/>
    <w:rsid w:val="00266A73"/>
    <w:rsid w:val="00270C81"/>
    <w:rsid w:val="00271558"/>
    <w:rsid w:val="00273BE7"/>
    <w:rsid w:val="00274862"/>
    <w:rsid w:val="0028251B"/>
    <w:rsid w:val="00282D72"/>
    <w:rsid w:val="00283402"/>
    <w:rsid w:val="00284F2B"/>
    <w:rsid w:val="0028585E"/>
    <w:rsid w:val="00290FD6"/>
    <w:rsid w:val="0029130E"/>
    <w:rsid w:val="00294259"/>
    <w:rsid w:val="002A13F1"/>
    <w:rsid w:val="002A2C81"/>
    <w:rsid w:val="002B102D"/>
    <w:rsid w:val="002B3D1A"/>
    <w:rsid w:val="002C27D0"/>
    <w:rsid w:val="002C2C9B"/>
    <w:rsid w:val="002C685F"/>
    <w:rsid w:val="002D17D6"/>
    <w:rsid w:val="002D18D7"/>
    <w:rsid w:val="002D21CE"/>
    <w:rsid w:val="002E3DA3"/>
    <w:rsid w:val="002E450F"/>
    <w:rsid w:val="002E49C8"/>
    <w:rsid w:val="002E6B38"/>
    <w:rsid w:val="002E6D63"/>
    <w:rsid w:val="002E6E2B"/>
    <w:rsid w:val="002F500B"/>
    <w:rsid w:val="002F5B38"/>
    <w:rsid w:val="00300991"/>
    <w:rsid w:val="00301959"/>
    <w:rsid w:val="00305B8A"/>
    <w:rsid w:val="0031161B"/>
    <w:rsid w:val="003136A9"/>
    <w:rsid w:val="003136C8"/>
    <w:rsid w:val="00313ECE"/>
    <w:rsid w:val="00323D04"/>
    <w:rsid w:val="00330371"/>
    <w:rsid w:val="00331BF9"/>
    <w:rsid w:val="00333201"/>
    <w:rsid w:val="0033495E"/>
    <w:rsid w:val="00334A79"/>
    <w:rsid w:val="00334D8D"/>
    <w:rsid w:val="00337345"/>
    <w:rsid w:val="0033787C"/>
    <w:rsid w:val="00337DD2"/>
    <w:rsid w:val="003404D1"/>
    <w:rsid w:val="00340910"/>
    <w:rsid w:val="003443FF"/>
    <w:rsid w:val="00355808"/>
    <w:rsid w:val="003614EB"/>
    <w:rsid w:val="0036265C"/>
    <w:rsid w:val="00362C7E"/>
    <w:rsid w:val="00363309"/>
    <w:rsid w:val="00363601"/>
    <w:rsid w:val="003655E7"/>
    <w:rsid w:val="00365C1E"/>
    <w:rsid w:val="00373D5D"/>
    <w:rsid w:val="00376AC9"/>
    <w:rsid w:val="003879CB"/>
    <w:rsid w:val="00387BB2"/>
    <w:rsid w:val="00393032"/>
    <w:rsid w:val="003944B8"/>
    <w:rsid w:val="00394B69"/>
    <w:rsid w:val="0039525C"/>
    <w:rsid w:val="0039638B"/>
    <w:rsid w:val="00396C18"/>
    <w:rsid w:val="00397078"/>
    <w:rsid w:val="003A09FC"/>
    <w:rsid w:val="003A144D"/>
    <w:rsid w:val="003A68DA"/>
    <w:rsid w:val="003A6953"/>
    <w:rsid w:val="003B123C"/>
    <w:rsid w:val="003B6083"/>
    <w:rsid w:val="003C1302"/>
    <w:rsid w:val="003C3838"/>
    <w:rsid w:val="003C5847"/>
    <w:rsid w:val="003C75F5"/>
    <w:rsid w:val="003D0681"/>
    <w:rsid w:val="003D105D"/>
    <w:rsid w:val="003D12F6"/>
    <w:rsid w:val="003D1426"/>
    <w:rsid w:val="003D3A08"/>
    <w:rsid w:val="003D58DE"/>
    <w:rsid w:val="003E2F4E"/>
    <w:rsid w:val="003E6D5E"/>
    <w:rsid w:val="003E720A"/>
    <w:rsid w:val="003F25CA"/>
    <w:rsid w:val="003F362D"/>
    <w:rsid w:val="003F5C3D"/>
    <w:rsid w:val="00400A5F"/>
    <w:rsid w:val="00403E6E"/>
    <w:rsid w:val="0040403B"/>
    <w:rsid w:val="004045C1"/>
    <w:rsid w:val="0040619A"/>
    <w:rsid w:val="004076E2"/>
    <w:rsid w:val="00411B04"/>
    <w:rsid w:val="004129B4"/>
    <w:rsid w:val="00417EF0"/>
    <w:rsid w:val="00422181"/>
    <w:rsid w:val="004244A8"/>
    <w:rsid w:val="0042565D"/>
    <w:rsid w:val="0042569E"/>
    <w:rsid w:val="00425F72"/>
    <w:rsid w:val="00427736"/>
    <w:rsid w:val="004335C8"/>
    <w:rsid w:val="00440D8C"/>
    <w:rsid w:val="00441787"/>
    <w:rsid w:val="00442D4F"/>
    <w:rsid w:val="004442B3"/>
    <w:rsid w:val="00444F2D"/>
    <w:rsid w:val="00452034"/>
    <w:rsid w:val="00455114"/>
    <w:rsid w:val="00455FA6"/>
    <w:rsid w:val="0046696C"/>
    <w:rsid w:val="00466C70"/>
    <w:rsid w:val="004702C9"/>
    <w:rsid w:val="00472E45"/>
    <w:rsid w:val="00473FEA"/>
    <w:rsid w:val="0047579D"/>
    <w:rsid w:val="004822AF"/>
    <w:rsid w:val="0048304D"/>
    <w:rsid w:val="00483262"/>
    <w:rsid w:val="00484107"/>
    <w:rsid w:val="00485CC5"/>
    <w:rsid w:val="004904C4"/>
    <w:rsid w:val="00491A35"/>
    <w:rsid w:val="0049343F"/>
    <w:rsid w:val="00493E4E"/>
    <w:rsid w:val="004964FC"/>
    <w:rsid w:val="004A145E"/>
    <w:rsid w:val="004A1F15"/>
    <w:rsid w:val="004A2A81"/>
    <w:rsid w:val="004A2BDD"/>
    <w:rsid w:val="004A4993"/>
    <w:rsid w:val="004A61C4"/>
    <w:rsid w:val="004A7BD7"/>
    <w:rsid w:val="004C0B7E"/>
    <w:rsid w:val="004C15C2"/>
    <w:rsid w:val="004C34E7"/>
    <w:rsid w:val="004C36D8"/>
    <w:rsid w:val="004D1248"/>
    <w:rsid w:val="004D1E3C"/>
    <w:rsid w:val="004D4169"/>
    <w:rsid w:val="004D470C"/>
    <w:rsid w:val="004D6E14"/>
    <w:rsid w:val="004D736A"/>
    <w:rsid w:val="004D7B1E"/>
    <w:rsid w:val="004E0DFC"/>
    <w:rsid w:val="004E31F9"/>
    <w:rsid w:val="004E4914"/>
    <w:rsid w:val="004E4DC2"/>
    <w:rsid w:val="004E554A"/>
    <w:rsid w:val="004F1461"/>
    <w:rsid w:val="004F4E17"/>
    <w:rsid w:val="004F5C10"/>
    <w:rsid w:val="0050082F"/>
    <w:rsid w:val="00500C56"/>
    <w:rsid w:val="00501713"/>
    <w:rsid w:val="00504E76"/>
    <w:rsid w:val="00505D81"/>
    <w:rsid w:val="00506568"/>
    <w:rsid w:val="0051551B"/>
    <w:rsid w:val="00516610"/>
    <w:rsid w:val="005201FC"/>
    <w:rsid w:val="00520C57"/>
    <w:rsid w:val="005224FD"/>
    <w:rsid w:val="00522D94"/>
    <w:rsid w:val="00522EDB"/>
    <w:rsid w:val="005235F6"/>
    <w:rsid w:val="00533D89"/>
    <w:rsid w:val="00536564"/>
    <w:rsid w:val="00540830"/>
    <w:rsid w:val="00544597"/>
    <w:rsid w:val="00544FFE"/>
    <w:rsid w:val="005459D5"/>
    <w:rsid w:val="005473F5"/>
    <w:rsid w:val="005477E7"/>
    <w:rsid w:val="005513B6"/>
    <w:rsid w:val="00552794"/>
    <w:rsid w:val="00555432"/>
    <w:rsid w:val="0055753F"/>
    <w:rsid w:val="005604B4"/>
    <w:rsid w:val="00560DC7"/>
    <w:rsid w:val="00562CA1"/>
    <w:rsid w:val="00563199"/>
    <w:rsid w:val="00563F5D"/>
    <w:rsid w:val="00564874"/>
    <w:rsid w:val="005666AC"/>
    <w:rsid w:val="00566DC2"/>
    <w:rsid w:val="00567963"/>
    <w:rsid w:val="0057009A"/>
    <w:rsid w:val="00571260"/>
    <w:rsid w:val="0057189C"/>
    <w:rsid w:val="00573FC1"/>
    <w:rsid w:val="005741EE"/>
    <w:rsid w:val="005751AA"/>
    <w:rsid w:val="0057668E"/>
    <w:rsid w:val="00577E52"/>
    <w:rsid w:val="00580C45"/>
    <w:rsid w:val="00582D66"/>
    <w:rsid w:val="00586215"/>
    <w:rsid w:val="0059320D"/>
    <w:rsid w:val="00595E83"/>
    <w:rsid w:val="00596530"/>
    <w:rsid w:val="005967F3"/>
    <w:rsid w:val="005A06DF"/>
    <w:rsid w:val="005A24EA"/>
    <w:rsid w:val="005A5527"/>
    <w:rsid w:val="005A578C"/>
    <w:rsid w:val="005A5AE6"/>
    <w:rsid w:val="005B0ABE"/>
    <w:rsid w:val="005B1206"/>
    <w:rsid w:val="005B37E8"/>
    <w:rsid w:val="005B475D"/>
    <w:rsid w:val="005C0056"/>
    <w:rsid w:val="005C14B5"/>
    <w:rsid w:val="005C549C"/>
    <w:rsid w:val="005C7A1A"/>
    <w:rsid w:val="005D61D6"/>
    <w:rsid w:val="005E0D13"/>
    <w:rsid w:val="005E1625"/>
    <w:rsid w:val="005E5047"/>
    <w:rsid w:val="005E7205"/>
    <w:rsid w:val="005E7371"/>
    <w:rsid w:val="005F116C"/>
    <w:rsid w:val="005F2131"/>
    <w:rsid w:val="0060205D"/>
    <w:rsid w:val="00605EF6"/>
    <w:rsid w:val="00606455"/>
    <w:rsid w:val="006068E9"/>
    <w:rsid w:val="00614929"/>
    <w:rsid w:val="00616511"/>
    <w:rsid w:val="006176ED"/>
    <w:rsid w:val="0061783C"/>
    <w:rsid w:val="006202F3"/>
    <w:rsid w:val="0062097A"/>
    <w:rsid w:val="00621D31"/>
    <w:rsid w:val="00621DA6"/>
    <w:rsid w:val="00623877"/>
    <w:rsid w:val="00623CFE"/>
    <w:rsid w:val="00627221"/>
    <w:rsid w:val="00627EE8"/>
    <w:rsid w:val="00630EF2"/>
    <w:rsid w:val="006316FA"/>
    <w:rsid w:val="0063471C"/>
    <w:rsid w:val="006370D2"/>
    <w:rsid w:val="006371E1"/>
    <w:rsid w:val="0064074F"/>
    <w:rsid w:val="0064080E"/>
    <w:rsid w:val="00641C3D"/>
    <w:rsid w:val="00641F55"/>
    <w:rsid w:val="00645E4A"/>
    <w:rsid w:val="00647F9E"/>
    <w:rsid w:val="00653688"/>
    <w:rsid w:val="0066091B"/>
    <w:rsid w:val="00662079"/>
    <w:rsid w:val="006660E9"/>
    <w:rsid w:val="006663CE"/>
    <w:rsid w:val="00667249"/>
    <w:rsid w:val="00667558"/>
    <w:rsid w:val="00671523"/>
    <w:rsid w:val="006754EF"/>
    <w:rsid w:val="00676C8D"/>
    <w:rsid w:val="00676F1F"/>
    <w:rsid w:val="00677381"/>
    <w:rsid w:val="00677414"/>
    <w:rsid w:val="006824FB"/>
    <w:rsid w:val="006832CF"/>
    <w:rsid w:val="00684718"/>
    <w:rsid w:val="0068601E"/>
    <w:rsid w:val="0069486B"/>
    <w:rsid w:val="00695C5B"/>
    <w:rsid w:val="006A1B81"/>
    <w:rsid w:val="006A4904"/>
    <w:rsid w:val="006A548F"/>
    <w:rsid w:val="006A701A"/>
    <w:rsid w:val="006B64DC"/>
    <w:rsid w:val="006B7A91"/>
    <w:rsid w:val="006C43EB"/>
    <w:rsid w:val="006D4704"/>
    <w:rsid w:val="006D48BB"/>
    <w:rsid w:val="006D6075"/>
    <w:rsid w:val="006D6A2D"/>
    <w:rsid w:val="006D728F"/>
    <w:rsid w:val="006E0902"/>
    <w:rsid w:val="006E1E18"/>
    <w:rsid w:val="006E31CE"/>
    <w:rsid w:val="006E34D3"/>
    <w:rsid w:val="006E3B33"/>
    <w:rsid w:val="006F1435"/>
    <w:rsid w:val="006F78C4"/>
    <w:rsid w:val="007006A2"/>
    <w:rsid w:val="00701679"/>
    <w:rsid w:val="007031A0"/>
    <w:rsid w:val="00705A29"/>
    <w:rsid w:val="00707498"/>
    <w:rsid w:val="00711A65"/>
    <w:rsid w:val="007121EE"/>
    <w:rsid w:val="00713229"/>
    <w:rsid w:val="00713BF0"/>
    <w:rsid w:val="00714133"/>
    <w:rsid w:val="00714C75"/>
    <w:rsid w:val="00714DA4"/>
    <w:rsid w:val="007158B2"/>
    <w:rsid w:val="00716081"/>
    <w:rsid w:val="00722563"/>
    <w:rsid w:val="00722B48"/>
    <w:rsid w:val="00724164"/>
    <w:rsid w:val="0072510D"/>
    <w:rsid w:val="00725DE7"/>
    <w:rsid w:val="00725F27"/>
    <w:rsid w:val="0072636A"/>
    <w:rsid w:val="00726607"/>
    <w:rsid w:val="00726B44"/>
    <w:rsid w:val="00726D13"/>
    <w:rsid w:val="00730B39"/>
    <w:rsid w:val="007318DD"/>
    <w:rsid w:val="00733167"/>
    <w:rsid w:val="00740694"/>
    <w:rsid w:val="00740D2C"/>
    <w:rsid w:val="007411B8"/>
    <w:rsid w:val="00744BF9"/>
    <w:rsid w:val="00745E8C"/>
    <w:rsid w:val="00750568"/>
    <w:rsid w:val="00752623"/>
    <w:rsid w:val="0075269E"/>
    <w:rsid w:val="00760F1F"/>
    <w:rsid w:val="0076423E"/>
    <w:rsid w:val="007646CB"/>
    <w:rsid w:val="0076658F"/>
    <w:rsid w:val="00767952"/>
    <w:rsid w:val="0077040A"/>
    <w:rsid w:val="00771E29"/>
    <w:rsid w:val="00772D64"/>
    <w:rsid w:val="00774733"/>
    <w:rsid w:val="00776F7C"/>
    <w:rsid w:val="00791F30"/>
    <w:rsid w:val="00792609"/>
    <w:rsid w:val="00792887"/>
    <w:rsid w:val="007943E2"/>
    <w:rsid w:val="00794F2C"/>
    <w:rsid w:val="007A3BC7"/>
    <w:rsid w:val="007A4542"/>
    <w:rsid w:val="007A5AC4"/>
    <w:rsid w:val="007B0FDD"/>
    <w:rsid w:val="007B2975"/>
    <w:rsid w:val="007B4802"/>
    <w:rsid w:val="007B6668"/>
    <w:rsid w:val="007B6B33"/>
    <w:rsid w:val="007C2701"/>
    <w:rsid w:val="007D2192"/>
    <w:rsid w:val="007D33C5"/>
    <w:rsid w:val="007D7ECA"/>
    <w:rsid w:val="007E5C9E"/>
    <w:rsid w:val="007F0021"/>
    <w:rsid w:val="007F227D"/>
    <w:rsid w:val="007F2F52"/>
    <w:rsid w:val="007F4E9E"/>
    <w:rsid w:val="00801F71"/>
    <w:rsid w:val="00802974"/>
    <w:rsid w:val="008048AA"/>
    <w:rsid w:val="00805F28"/>
    <w:rsid w:val="0080749F"/>
    <w:rsid w:val="00811D46"/>
    <w:rsid w:val="00812079"/>
    <w:rsid w:val="008125B0"/>
    <w:rsid w:val="00813EF0"/>
    <w:rsid w:val="008144CB"/>
    <w:rsid w:val="008145FD"/>
    <w:rsid w:val="00815756"/>
    <w:rsid w:val="0081612F"/>
    <w:rsid w:val="00821717"/>
    <w:rsid w:val="00824210"/>
    <w:rsid w:val="0082470F"/>
    <w:rsid w:val="008263C0"/>
    <w:rsid w:val="008310B7"/>
    <w:rsid w:val="00831D7E"/>
    <w:rsid w:val="00831E15"/>
    <w:rsid w:val="00841422"/>
    <w:rsid w:val="0084180A"/>
    <w:rsid w:val="00841D3B"/>
    <w:rsid w:val="00842C94"/>
    <w:rsid w:val="0084314C"/>
    <w:rsid w:val="00843171"/>
    <w:rsid w:val="00843870"/>
    <w:rsid w:val="008513A1"/>
    <w:rsid w:val="00854ED2"/>
    <w:rsid w:val="008575C3"/>
    <w:rsid w:val="00863D28"/>
    <w:rsid w:val="008648C3"/>
    <w:rsid w:val="008650AD"/>
    <w:rsid w:val="00867FB5"/>
    <w:rsid w:val="00871A86"/>
    <w:rsid w:val="00880F26"/>
    <w:rsid w:val="008839BF"/>
    <w:rsid w:val="00895E19"/>
    <w:rsid w:val="00896C2E"/>
    <w:rsid w:val="0089710A"/>
    <w:rsid w:val="008A373F"/>
    <w:rsid w:val="008A5095"/>
    <w:rsid w:val="008A608F"/>
    <w:rsid w:val="008A7E68"/>
    <w:rsid w:val="008B1A9A"/>
    <w:rsid w:val="008B408E"/>
    <w:rsid w:val="008B4FE6"/>
    <w:rsid w:val="008B6C37"/>
    <w:rsid w:val="008C10A0"/>
    <w:rsid w:val="008C1770"/>
    <w:rsid w:val="008C590F"/>
    <w:rsid w:val="008C6A11"/>
    <w:rsid w:val="008D4A37"/>
    <w:rsid w:val="008E18F7"/>
    <w:rsid w:val="008E1E10"/>
    <w:rsid w:val="008E291B"/>
    <w:rsid w:val="008E4F2F"/>
    <w:rsid w:val="008E74B0"/>
    <w:rsid w:val="008E794F"/>
    <w:rsid w:val="008F1DBC"/>
    <w:rsid w:val="008F6215"/>
    <w:rsid w:val="009008A8"/>
    <w:rsid w:val="00901CAE"/>
    <w:rsid w:val="00901D15"/>
    <w:rsid w:val="0090438E"/>
    <w:rsid w:val="009063B0"/>
    <w:rsid w:val="00907106"/>
    <w:rsid w:val="009107FD"/>
    <w:rsid w:val="00910A2F"/>
    <w:rsid w:val="0091137C"/>
    <w:rsid w:val="00911567"/>
    <w:rsid w:val="0091578A"/>
    <w:rsid w:val="00917745"/>
    <w:rsid w:val="00917AAE"/>
    <w:rsid w:val="0092058E"/>
    <w:rsid w:val="0092185D"/>
    <w:rsid w:val="009251A9"/>
    <w:rsid w:val="00927868"/>
    <w:rsid w:val="00930192"/>
    <w:rsid w:val="00930699"/>
    <w:rsid w:val="00931463"/>
    <w:rsid w:val="00931E6B"/>
    <w:rsid w:val="00931F69"/>
    <w:rsid w:val="00934123"/>
    <w:rsid w:val="0093742A"/>
    <w:rsid w:val="00952FED"/>
    <w:rsid w:val="00953771"/>
    <w:rsid w:val="00953C1D"/>
    <w:rsid w:val="0095432F"/>
    <w:rsid w:val="00955774"/>
    <w:rsid w:val="009560B5"/>
    <w:rsid w:val="009703D6"/>
    <w:rsid w:val="00971180"/>
    <w:rsid w:val="0097181B"/>
    <w:rsid w:val="00976DC5"/>
    <w:rsid w:val="009818C7"/>
    <w:rsid w:val="00982DD4"/>
    <w:rsid w:val="009841E5"/>
    <w:rsid w:val="0098479F"/>
    <w:rsid w:val="00984A8A"/>
    <w:rsid w:val="00984EF6"/>
    <w:rsid w:val="009857B6"/>
    <w:rsid w:val="00985A8D"/>
    <w:rsid w:val="00986610"/>
    <w:rsid w:val="009877DC"/>
    <w:rsid w:val="00987E00"/>
    <w:rsid w:val="00991F96"/>
    <w:rsid w:val="00995A86"/>
    <w:rsid w:val="00996F0A"/>
    <w:rsid w:val="009A1D86"/>
    <w:rsid w:val="009A2351"/>
    <w:rsid w:val="009A32E2"/>
    <w:rsid w:val="009A4C29"/>
    <w:rsid w:val="009A7D65"/>
    <w:rsid w:val="009B049C"/>
    <w:rsid w:val="009B08D5"/>
    <w:rsid w:val="009B11C8"/>
    <w:rsid w:val="009B2BCF"/>
    <w:rsid w:val="009B2FF8"/>
    <w:rsid w:val="009B3052"/>
    <w:rsid w:val="009B5BA3"/>
    <w:rsid w:val="009B7CB4"/>
    <w:rsid w:val="009C3DC4"/>
    <w:rsid w:val="009D0027"/>
    <w:rsid w:val="009D0655"/>
    <w:rsid w:val="009D44AA"/>
    <w:rsid w:val="009E05D6"/>
    <w:rsid w:val="009E1E98"/>
    <w:rsid w:val="009E3ABE"/>
    <w:rsid w:val="009E3C4B"/>
    <w:rsid w:val="009E759E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7B2"/>
    <w:rsid w:val="00A319C0"/>
    <w:rsid w:val="00A33560"/>
    <w:rsid w:val="00A364E4"/>
    <w:rsid w:val="00A371A5"/>
    <w:rsid w:val="00A418AE"/>
    <w:rsid w:val="00A42FBF"/>
    <w:rsid w:val="00A46315"/>
    <w:rsid w:val="00A47BDF"/>
    <w:rsid w:val="00A50AF8"/>
    <w:rsid w:val="00A51CD7"/>
    <w:rsid w:val="00A52456"/>
    <w:rsid w:val="00A5266F"/>
    <w:rsid w:val="00A52ADB"/>
    <w:rsid w:val="00A533E8"/>
    <w:rsid w:val="00A542D9"/>
    <w:rsid w:val="00A55E19"/>
    <w:rsid w:val="00A56E64"/>
    <w:rsid w:val="00A6123C"/>
    <w:rsid w:val="00A61E37"/>
    <w:rsid w:val="00A624C3"/>
    <w:rsid w:val="00A64BCA"/>
    <w:rsid w:val="00A6641C"/>
    <w:rsid w:val="00A76168"/>
    <w:rsid w:val="00A767D2"/>
    <w:rsid w:val="00A77616"/>
    <w:rsid w:val="00A779E6"/>
    <w:rsid w:val="00A8055D"/>
    <w:rsid w:val="00A805DA"/>
    <w:rsid w:val="00A811B4"/>
    <w:rsid w:val="00A87CDE"/>
    <w:rsid w:val="00A92BAF"/>
    <w:rsid w:val="00A93A23"/>
    <w:rsid w:val="00A94737"/>
    <w:rsid w:val="00A94BA3"/>
    <w:rsid w:val="00A96198"/>
    <w:rsid w:val="00A96CBA"/>
    <w:rsid w:val="00A971A2"/>
    <w:rsid w:val="00AA05C9"/>
    <w:rsid w:val="00AA275C"/>
    <w:rsid w:val="00AA2D90"/>
    <w:rsid w:val="00AA2DD2"/>
    <w:rsid w:val="00AA5369"/>
    <w:rsid w:val="00AA5B8E"/>
    <w:rsid w:val="00AB018A"/>
    <w:rsid w:val="00AB0939"/>
    <w:rsid w:val="00AB1ACD"/>
    <w:rsid w:val="00AB2102"/>
    <w:rsid w:val="00AB277F"/>
    <w:rsid w:val="00AB4099"/>
    <w:rsid w:val="00AB42C7"/>
    <w:rsid w:val="00AB449A"/>
    <w:rsid w:val="00AD14F9"/>
    <w:rsid w:val="00AD35D6"/>
    <w:rsid w:val="00AD3992"/>
    <w:rsid w:val="00AD54C3"/>
    <w:rsid w:val="00AD58C5"/>
    <w:rsid w:val="00AD77D5"/>
    <w:rsid w:val="00AE1199"/>
    <w:rsid w:val="00AE36C4"/>
    <w:rsid w:val="00AE472C"/>
    <w:rsid w:val="00AE5375"/>
    <w:rsid w:val="00AE6CF8"/>
    <w:rsid w:val="00AF4CAC"/>
    <w:rsid w:val="00B0150D"/>
    <w:rsid w:val="00B01761"/>
    <w:rsid w:val="00B03E0D"/>
    <w:rsid w:val="00B053C3"/>
    <w:rsid w:val="00B054F8"/>
    <w:rsid w:val="00B0640E"/>
    <w:rsid w:val="00B06808"/>
    <w:rsid w:val="00B21557"/>
    <w:rsid w:val="00B2219A"/>
    <w:rsid w:val="00B2664D"/>
    <w:rsid w:val="00B2693E"/>
    <w:rsid w:val="00B3355E"/>
    <w:rsid w:val="00B3581B"/>
    <w:rsid w:val="00B36B81"/>
    <w:rsid w:val="00B36FEE"/>
    <w:rsid w:val="00B37C80"/>
    <w:rsid w:val="00B40E96"/>
    <w:rsid w:val="00B43AEE"/>
    <w:rsid w:val="00B45DC1"/>
    <w:rsid w:val="00B46376"/>
    <w:rsid w:val="00B5092B"/>
    <w:rsid w:val="00B50FF6"/>
    <w:rsid w:val="00B5194E"/>
    <w:rsid w:val="00B51AF5"/>
    <w:rsid w:val="00B523E8"/>
    <w:rsid w:val="00B531FC"/>
    <w:rsid w:val="00B55347"/>
    <w:rsid w:val="00B57E5E"/>
    <w:rsid w:val="00B61C88"/>
    <w:rsid w:val="00B61F37"/>
    <w:rsid w:val="00B645AB"/>
    <w:rsid w:val="00B6601C"/>
    <w:rsid w:val="00B71701"/>
    <w:rsid w:val="00B7770F"/>
    <w:rsid w:val="00B77A89"/>
    <w:rsid w:val="00B77B27"/>
    <w:rsid w:val="00B8134E"/>
    <w:rsid w:val="00B81B55"/>
    <w:rsid w:val="00B84613"/>
    <w:rsid w:val="00B8660B"/>
    <w:rsid w:val="00B87AF0"/>
    <w:rsid w:val="00B9037B"/>
    <w:rsid w:val="00B910BD"/>
    <w:rsid w:val="00B93834"/>
    <w:rsid w:val="00B9458B"/>
    <w:rsid w:val="00B94C3A"/>
    <w:rsid w:val="00B96469"/>
    <w:rsid w:val="00BA0DA2"/>
    <w:rsid w:val="00BA2981"/>
    <w:rsid w:val="00BA42EE"/>
    <w:rsid w:val="00BA48F9"/>
    <w:rsid w:val="00BB0DCA"/>
    <w:rsid w:val="00BB2666"/>
    <w:rsid w:val="00BB38C4"/>
    <w:rsid w:val="00BB49B5"/>
    <w:rsid w:val="00BB6862"/>
    <w:rsid w:val="00BB6B80"/>
    <w:rsid w:val="00BC1CC4"/>
    <w:rsid w:val="00BC32B4"/>
    <w:rsid w:val="00BC3773"/>
    <w:rsid w:val="00BC381A"/>
    <w:rsid w:val="00BD0962"/>
    <w:rsid w:val="00BD1EED"/>
    <w:rsid w:val="00BF0DA2"/>
    <w:rsid w:val="00BF109C"/>
    <w:rsid w:val="00BF1C55"/>
    <w:rsid w:val="00BF1C5E"/>
    <w:rsid w:val="00BF34FA"/>
    <w:rsid w:val="00C004B6"/>
    <w:rsid w:val="00C022D2"/>
    <w:rsid w:val="00C047A7"/>
    <w:rsid w:val="00C05DE5"/>
    <w:rsid w:val="00C07AAA"/>
    <w:rsid w:val="00C1075B"/>
    <w:rsid w:val="00C14BE9"/>
    <w:rsid w:val="00C17B5B"/>
    <w:rsid w:val="00C25681"/>
    <w:rsid w:val="00C31B3D"/>
    <w:rsid w:val="00C33027"/>
    <w:rsid w:val="00C34263"/>
    <w:rsid w:val="00C37667"/>
    <w:rsid w:val="00C37B84"/>
    <w:rsid w:val="00C435DB"/>
    <w:rsid w:val="00C44D73"/>
    <w:rsid w:val="00C50B42"/>
    <w:rsid w:val="00C516FF"/>
    <w:rsid w:val="00C52BFA"/>
    <w:rsid w:val="00C53D1D"/>
    <w:rsid w:val="00C53F26"/>
    <w:rsid w:val="00C540BC"/>
    <w:rsid w:val="00C64281"/>
    <w:rsid w:val="00C64F7D"/>
    <w:rsid w:val="00C65E7F"/>
    <w:rsid w:val="00C67309"/>
    <w:rsid w:val="00C7614E"/>
    <w:rsid w:val="00C77BF1"/>
    <w:rsid w:val="00C80D60"/>
    <w:rsid w:val="00C819F8"/>
    <w:rsid w:val="00C81DBF"/>
    <w:rsid w:val="00C82FBD"/>
    <w:rsid w:val="00C84E9E"/>
    <w:rsid w:val="00C85267"/>
    <w:rsid w:val="00C8633E"/>
    <w:rsid w:val="00C8721B"/>
    <w:rsid w:val="00C87886"/>
    <w:rsid w:val="00C9215F"/>
    <w:rsid w:val="00C9372C"/>
    <w:rsid w:val="00C9470E"/>
    <w:rsid w:val="00C94B1C"/>
    <w:rsid w:val="00C95CEB"/>
    <w:rsid w:val="00CA1054"/>
    <w:rsid w:val="00CA63EB"/>
    <w:rsid w:val="00CA69F1"/>
    <w:rsid w:val="00CB6991"/>
    <w:rsid w:val="00CB7D83"/>
    <w:rsid w:val="00CC0DDF"/>
    <w:rsid w:val="00CC1792"/>
    <w:rsid w:val="00CC556D"/>
    <w:rsid w:val="00CC6194"/>
    <w:rsid w:val="00CC6305"/>
    <w:rsid w:val="00CC7852"/>
    <w:rsid w:val="00CC78A5"/>
    <w:rsid w:val="00CD0516"/>
    <w:rsid w:val="00CD10B6"/>
    <w:rsid w:val="00CD5AA9"/>
    <w:rsid w:val="00CD756B"/>
    <w:rsid w:val="00CE2042"/>
    <w:rsid w:val="00CE734F"/>
    <w:rsid w:val="00CF0BB0"/>
    <w:rsid w:val="00CF112E"/>
    <w:rsid w:val="00CF5F4F"/>
    <w:rsid w:val="00D06969"/>
    <w:rsid w:val="00D10C57"/>
    <w:rsid w:val="00D13F86"/>
    <w:rsid w:val="00D15328"/>
    <w:rsid w:val="00D17208"/>
    <w:rsid w:val="00D218DC"/>
    <w:rsid w:val="00D22391"/>
    <w:rsid w:val="00D24E56"/>
    <w:rsid w:val="00D3110C"/>
    <w:rsid w:val="00D31643"/>
    <w:rsid w:val="00D31AEB"/>
    <w:rsid w:val="00D32ECD"/>
    <w:rsid w:val="00D361E4"/>
    <w:rsid w:val="00D42A8F"/>
    <w:rsid w:val="00D439F6"/>
    <w:rsid w:val="00D457D8"/>
    <w:rsid w:val="00D459C6"/>
    <w:rsid w:val="00D50729"/>
    <w:rsid w:val="00D50C19"/>
    <w:rsid w:val="00D5379E"/>
    <w:rsid w:val="00D53DC4"/>
    <w:rsid w:val="00D6151B"/>
    <w:rsid w:val="00D62643"/>
    <w:rsid w:val="00D64C0F"/>
    <w:rsid w:val="00D70E9B"/>
    <w:rsid w:val="00D72EFE"/>
    <w:rsid w:val="00D76227"/>
    <w:rsid w:val="00D76F5A"/>
    <w:rsid w:val="00D77C82"/>
    <w:rsid w:val="00D77DF1"/>
    <w:rsid w:val="00D86AFF"/>
    <w:rsid w:val="00D95A44"/>
    <w:rsid w:val="00D95D16"/>
    <w:rsid w:val="00D972BD"/>
    <w:rsid w:val="00D97C76"/>
    <w:rsid w:val="00DA1602"/>
    <w:rsid w:val="00DA468D"/>
    <w:rsid w:val="00DA577A"/>
    <w:rsid w:val="00DA7B2A"/>
    <w:rsid w:val="00DB01BF"/>
    <w:rsid w:val="00DB02B4"/>
    <w:rsid w:val="00DB538D"/>
    <w:rsid w:val="00DB6DE7"/>
    <w:rsid w:val="00DC177F"/>
    <w:rsid w:val="00DC275C"/>
    <w:rsid w:val="00DC4B0D"/>
    <w:rsid w:val="00DC7FE1"/>
    <w:rsid w:val="00DD3F3F"/>
    <w:rsid w:val="00DD5572"/>
    <w:rsid w:val="00DE5D80"/>
    <w:rsid w:val="00DF2078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26BB2"/>
    <w:rsid w:val="00E3412D"/>
    <w:rsid w:val="00E402B1"/>
    <w:rsid w:val="00E44FB6"/>
    <w:rsid w:val="00E53C3A"/>
    <w:rsid w:val="00E57322"/>
    <w:rsid w:val="00E60A05"/>
    <w:rsid w:val="00E628CB"/>
    <w:rsid w:val="00E62AD9"/>
    <w:rsid w:val="00E6347F"/>
    <w:rsid w:val="00E638C8"/>
    <w:rsid w:val="00E65E47"/>
    <w:rsid w:val="00E72BE9"/>
    <w:rsid w:val="00E7509B"/>
    <w:rsid w:val="00E75456"/>
    <w:rsid w:val="00E86590"/>
    <w:rsid w:val="00E907FF"/>
    <w:rsid w:val="00E9096D"/>
    <w:rsid w:val="00E919FA"/>
    <w:rsid w:val="00E95AF0"/>
    <w:rsid w:val="00E967FA"/>
    <w:rsid w:val="00EA42D1"/>
    <w:rsid w:val="00EA42EF"/>
    <w:rsid w:val="00EB2DD1"/>
    <w:rsid w:val="00EB6B37"/>
    <w:rsid w:val="00EC29FE"/>
    <w:rsid w:val="00EC31F3"/>
    <w:rsid w:val="00EC3C70"/>
    <w:rsid w:val="00EC650C"/>
    <w:rsid w:val="00EC6569"/>
    <w:rsid w:val="00EC7602"/>
    <w:rsid w:val="00EC7878"/>
    <w:rsid w:val="00ED175B"/>
    <w:rsid w:val="00ED3A3D"/>
    <w:rsid w:val="00ED538A"/>
    <w:rsid w:val="00ED5CEF"/>
    <w:rsid w:val="00ED6FBC"/>
    <w:rsid w:val="00EE2F16"/>
    <w:rsid w:val="00EE304F"/>
    <w:rsid w:val="00EE3861"/>
    <w:rsid w:val="00EF2D22"/>
    <w:rsid w:val="00EF2E73"/>
    <w:rsid w:val="00EF4918"/>
    <w:rsid w:val="00EF7683"/>
    <w:rsid w:val="00EF7A2D"/>
    <w:rsid w:val="00F0194D"/>
    <w:rsid w:val="00F037F0"/>
    <w:rsid w:val="00F03A73"/>
    <w:rsid w:val="00F03F44"/>
    <w:rsid w:val="00F04F8D"/>
    <w:rsid w:val="00F060EC"/>
    <w:rsid w:val="00F10AD0"/>
    <w:rsid w:val="00F116CC"/>
    <w:rsid w:val="00F12605"/>
    <w:rsid w:val="00F12BD1"/>
    <w:rsid w:val="00F13D48"/>
    <w:rsid w:val="00F15327"/>
    <w:rsid w:val="00F168CF"/>
    <w:rsid w:val="00F1790B"/>
    <w:rsid w:val="00F2555C"/>
    <w:rsid w:val="00F31D33"/>
    <w:rsid w:val="00F31DF3"/>
    <w:rsid w:val="00F320D0"/>
    <w:rsid w:val="00F33AE5"/>
    <w:rsid w:val="00F3597D"/>
    <w:rsid w:val="00F42579"/>
    <w:rsid w:val="00F4376D"/>
    <w:rsid w:val="00F45399"/>
    <w:rsid w:val="00F45CBF"/>
    <w:rsid w:val="00F463C2"/>
    <w:rsid w:val="00F465EA"/>
    <w:rsid w:val="00F47B20"/>
    <w:rsid w:val="00F54123"/>
    <w:rsid w:val="00F54DF6"/>
    <w:rsid w:val="00F54E7B"/>
    <w:rsid w:val="00F550C6"/>
    <w:rsid w:val="00F55A88"/>
    <w:rsid w:val="00F6100E"/>
    <w:rsid w:val="00F63C30"/>
    <w:rsid w:val="00F74005"/>
    <w:rsid w:val="00F76627"/>
    <w:rsid w:val="00F76884"/>
    <w:rsid w:val="00F80C65"/>
    <w:rsid w:val="00F83D24"/>
    <w:rsid w:val="00F83DD9"/>
    <w:rsid w:val="00F83F40"/>
    <w:rsid w:val="00F85328"/>
    <w:rsid w:val="00F865BB"/>
    <w:rsid w:val="00F9172C"/>
    <w:rsid w:val="00F946F9"/>
    <w:rsid w:val="00FA117A"/>
    <w:rsid w:val="00FA136B"/>
    <w:rsid w:val="00FA276B"/>
    <w:rsid w:val="00FB386A"/>
    <w:rsid w:val="00FB50F1"/>
    <w:rsid w:val="00FB6827"/>
    <w:rsid w:val="00FC0786"/>
    <w:rsid w:val="00FC49EF"/>
    <w:rsid w:val="00FC5BF6"/>
    <w:rsid w:val="00FD06D5"/>
    <w:rsid w:val="00FE1A10"/>
    <w:rsid w:val="00FE2F23"/>
    <w:rsid w:val="00FE36E2"/>
    <w:rsid w:val="00FE40EF"/>
    <w:rsid w:val="00FE7E79"/>
    <w:rsid w:val="00FF11AD"/>
    <w:rsid w:val="00FF173A"/>
    <w:rsid w:val="00FF2297"/>
    <w:rsid w:val="00FF2971"/>
    <w:rsid w:val="00FF34D4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2F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E6B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aotm_załączniki,Styl moj,Akapit z listą1,Akapit z listą11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LITlitera">
    <w:name w:val="LIT – litera"/>
    <w:basedOn w:val="Normalny"/>
    <w:uiPriority w:val="14"/>
    <w:qFormat/>
    <w:rsid w:val="006068E9"/>
    <w:pPr>
      <w:spacing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D4F3A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71E29"/>
    <w:rPr>
      <w:color w:val="605E5C"/>
      <w:shd w:val="clear" w:color="auto" w:fill="E1DFDD"/>
    </w:rPr>
  </w:style>
  <w:style w:type="character" w:customStyle="1" w:styleId="AkapitzlistZnak">
    <w:name w:val="Akapit z listą Znak"/>
    <w:aliases w:val="aotm_załączniki Znak,Styl moj Znak,Akapit z listą1 Znak,Akapit z listą11 Znak"/>
    <w:link w:val="Akapitzlist"/>
    <w:uiPriority w:val="34"/>
    <w:locked/>
    <w:rsid w:val="00B266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ep-rkm@mz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DAD76743D0840BED3B3E22963F034" ma:contentTypeVersion="4" ma:contentTypeDescription="Utwórz nowy dokument." ma:contentTypeScope="" ma:versionID="be522dbe09bc4cbf6d517c13590bb601">
  <xsd:schema xmlns:xsd="http://www.w3.org/2001/XMLSchema" xmlns:xs="http://www.w3.org/2001/XMLSchema" xmlns:p="http://schemas.microsoft.com/office/2006/metadata/properties" xmlns:ns2="6e8cd8a3-9d9a-49ba-b293-81a1e73112d2" xmlns:ns3="4efd6991-481d-4601-91d3-9d4e9148309e" targetNamespace="http://schemas.microsoft.com/office/2006/metadata/properties" ma:root="true" ma:fieldsID="bc901aa4e944ee81d9830c078760987c" ns2:_="" ns3:_="">
    <xsd:import namespace="6e8cd8a3-9d9a-49ba-b293-81a1e73112d2"/>
    <xsd:import namespace="4efd6991-481d-4601-91d3-9d4e91483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d8a3-9d9a-49ba-b293-81a1e731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6991-481d-4601-91d3-9d4e91483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71D2-2329-499F-8CA8-C2826696E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D00C3-F4F8-479B-B579-FE576DE6B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d8a3-9d9a-49ba-b293-81a1e73112d2"/>
    <ds:schemaRef ds:uri="4efd6991-481d-4601-91d3-9d4e91483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D05C6-72C1-4F70-8921-A06BE280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9767</CharactersWithSpaces>
  <SharedDoc>false</SharedDoc>
  <HLinks>
    <vt:vector size="6" baseType="variant">
      <vt:variant>
        <vt:i4>458802</vt:i4>
      </vt:variant>
      <vt:variant>
        <vt:i4>0</vt:i4>
      </vt:variant>
      <vt:variant>
        <vt:i4>0</vt:i4>
      </vt:variant>
      <vt:variant>
        <vt:i4>5</vt:i4>
      </vt:variant>
      <vt:variant>
        <vt:lpwstr>mailto:dep-rkm@mz.gov.pl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2023-11-30T11:58:00Z</dcterms:created>
  <dcterms:modified xsi:type="dcterms:W3CDTF">2023-11-30T11:58:00Z</dcterms:modified>
</cp:coreProperties>
</file>