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F30E" w14:textId="77777777" w:rsidR="00AB5805" w:rsidRDefault="00AB5805"/>
    <w:p w14:paraId="6CCB160A" w14:textId="5DF13BF5" w:rsidR="003A4723" w:rsidRPr="00B02CA9" w:rsidRDefault="003A4723" w:rsidP="00B02CA9">
      <w:pPr>
        <w:jc w:val="right"/>
        <w:rPr>
          <w:rFonts w:ascii="Times New Roman" w:eastAsia="Times New Roman" w:hAnsi="Times New Roman"/>
          <w:sz w:val="16"/>
          <w:szCs w:val="16"/>
        </w:rPr>
      </w:pPr>
      <w:r w:rsidRPr="00B02CA9">
        <w:rPr>
          <w:rFonts w:ascii="Times New Roman" w:eastAsia="Times New Roman" w:hAnsi="Times New Roman"/>
          <w:sz w:val="16"/>
          <w:szCs w:val="16"/>
        </w:rPr>
        <w:t>Załącznik do rozporządzenia Ministra Zdrowia</w:t>
      </w:r>
    </w:p>
    <w:p w14:paraId="56B9092C" w14:textId="76FE9D33" w:rsidR="003A4723" w:rsidRPr="00B02CA9" w:rsidRDefault="003A4723" w:rsidP="00B02CA9">
      <w:pPr>
        <w:jc w:val="right"/>
        <w:rPr>
          <w:rFonts w:ascii="Times New Roman" w:eastAsia="Times New Roman" w:hAnsi="Times New Roman"/>
          <w:sz w:val="16"/>
          <w:szCs w:val="16"/>
        </w:rPr>
      </w:pPr>
      <w:r w:rsidRPr="00B02CA9">
        <w:rPr>
          <w:rFonts w:ascii="Times New Roman" w:eastAsia="Times New Roman" w:hAnsi="Times New Roman"/>
          <w:sz w:val="16"/>
          <w:szCs w:val="16"/>
        </w:rPr>
        <w:t xml:space="preserve"> z dnia </w:t>
      </w:r>
      <w:r w:rsidR="00320E54">
        <w:rPr>
          <w:rFonts w:ascii="Times New Roman" w:eastAsia="Times New Roman" w:hAnsi="Times New Roman"/>
          <w:sz w:val="16"/>
          <w:szCs w:val="16"/>
        </w:rPr>
        <w:t>……</w:t>
      </w:r>
      <w:r w:rsidRPr="00B02CA9">
        <w:rPr>
          <w:rFonts w:ascii="Times New Roman" w:eastAsia="Times New Roman" w:hAnsi="Times New Roman"/>
          <w:sz w:val="16"/>
          <w:szCs w:val="16"/>
        </w:rPr>
        <w:t xml:space="preserve">r. </w:t>
      </w:r>
      <w:r w:rsidR="009D4EA2">
        <w:rPr>
          <w:rFonts w:ascii="Times New Roman" w:eastAsia="Times New Roman" w:hAnsi="Times New Roman"/>
          <w:sz w:val="16"/>
          <w:szCs w:val="16"/>
        </w:rPr>
        <w:t>(poz.…)</w:t>
      </w:r>
    </w:p>
    <w:p w14:paraId="57C8B0B4" w14:textId="77777777" w:rsidR="00F13EE8" w:rsidRDefault="00F13EE8" w:rsidP="00B44C2B">
      <w:pPr>
        <w:pStyle w:val="Akapitzlist"/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34"/>
        <w:gridCol w:w="2212"/>
        <w:gridCol w:w="3682"/>
      </w:tblGrid>
      <w:tr w:rsidR="00F13EE8" w:rsidRPr="008E0503" w14:paraId="695E2C31" w14:textId="77777777" w:rsidTr="003A4723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E89C10" w14:textId="3C513429" w:rsidR="00F13EE8" w:rsidRPr="008E0503" w:rsidRDefault="003C7A73" w:rsidP="00604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14:paraId="0DB7D600" w14:textId="77777777" w:rsidR="00F13EE8" w:rsidRPr="008E0503" w:rsidRDefault="00F13EE8" w:rsidP="00604C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97CB7" w14:textId="60D6A4F9" w:rsidR="00F13EE8" w:rsidRPr="008E0503" w:rsidRDefault="00F13EE8" w:rsidP="00F13EE8">
            <w:pPr>
              <w:rPr>
                <w:rFonts w:ascii="Times New Roman" w:hAnsi="Times New Roman"/>
                <w:sz w:val="16"/>
                <w:szCs w:val="16"/>
              </w:rPr>
            </w:pPr>
            <w:r w:rsidRPr="00F13E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1) </w:t>
            </w:r>
            <w:r w:rsidR="0015684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39.742 </w:t>
            </w:r>
            <w:r w:rsidR="00156841" w:rsidRPr="00156841">
              <w:rPr>
                <w:rFonts w:ascii="Times New Roman" w:hAnsi="Times New Roman"/>
                <w:b/>
                <w:bCs/>
                <w:sz w:val="16"/>
                <w:szCs w:val="16"/>
              </w:rPr>
              <w:t>Leczenie ostrej fazy udaru niedokrwiennego za pomocą przezcewnikowej trombektomii mechanicznej naczyń domózgowych lub wewnątrzczaszkowych</w:t>
            </w:r>
            <w:r w:rsidR="00C40176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14:paraId="7B525397" w14:textId="77777777" w:rsidR="00F13EE8" w:rsidRPr="008E0503" w:rsidRDefault="00F13EE8" w:rsidP="00604C0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C344" w14:textId="3FDB73FD" w:rsidR="00F13EE8" w:rsidRPr="008E0503" w:rsidRDefault="00F13EE8" w:rsidP="00604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503">
              <w:rPr>
                <w:rFonts w:ascii="Times New Roman" w:hAnsi="Times New Roman"/>
                <w:sz w:val="16"/>
                <w:szCs w:val="16"/>
              </w:rPr>
              <w:t>Wymagania formalne</w:t>
            </w:r>
          </w:p>
          <w:p w14:paraId="4818C179" w14:textId="77777777" w:rsidR="00F13EE8" w:rsidRPr="008E0503" w:rsidRDefault="00F13EE8" w:rsidP="00604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2AE6" w14:textId="29FEB6E2" w:rsidR="00F13EE8" w:rsidRDefault="00156841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F13EE8" w:rsidRPr="00F13EE8">
              <w:rPr>
                <w:rFonts w:ascii="Times New Roman" w:hAnsi="Times New Roman"/>
                <w:sz w:val="16"/>
                <w:szCs w:val="16"/>
              </w:rPr>
              <w:t>W lokalizacji:</w:t>
            </w:r>
          </w:p>
          <w:p w14:paraId="6326D756" w14:textId="56710DF6" w:rsidR="00156841" w:rsidRPr="00156841" w:rsidRDefault="00156841" w:rsidP="001568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6841">
              <w:rPr>
                <w:rFonts w:ascii="Times New Roman" w:hAnsi="Times New Roman"/>
                <w:sz w:val="16"/>
                <w:szCs w:val="16"/>
              </w:rPr>
              <w:t>1) oddział szpitalny o profilu neurologia z oddziałem lub pododdziałem udarowym, spełniający wymagania określone w lp. 2 załącznika nr 4 do rozporządzenia</w:t>
            </w:r>
            <w:r w:rsidR="00002F5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E4EFAF3" w14:textId="66FDA3AA" w:rsidR="00156841" w:rsidRDefault="00156841" w:rsidP="001568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6841">
              <w:rPr>
                <w:rFonts w:ascii="Times New Roman" w:hAnsi="Times New Roman"/>
                <w:sz w:val="16"/>
                <w:szCs w:val="16"/>
              </w:rPr>
              <w:t xml:space="preserve">2) pracownia radiologii zabiegowej lub pracownia hemodynamiki, w której wykonano co najmniej 150 procedur leczenia endowaskularnego tętnic domózgowych lub wewnątrzczaszkowych w okresie ostatnich 24 miesięcy poprzedzających zawarcie albo kontynuację umowy </w:t>
            </w:r>
            <w:r>
              <w:rPr>
                <w:rFonts w:ascii="Times New Roman" w:hAnsi="Times New Roman"/>
                <w:sz w:val="16"/>
                <w:szCs w:val="16"/>
              </w:rPr>
              <w:t>na realizację świadczenia gwarantowanego</w:t>
            </w:r>
            <w:r w:rsidR="00002F5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7F31B34" w14:textId="19661CA3" w:rsidR="0050282D" w:rsidRDefault="0050282D" w:rsidP="001568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498E353" w14:textId="625871C1" w:rsidR="00B56E1C" w:rsidRDefault="00156841" w:rsidP="0015684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02F5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lokalizacji lub w dostępie</w:t>
            </w:r>
            <w:r w:rsidR="00002F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6841">
              <w:rPr>
                <w:rFonts w:ascii="Times New Roman" w:hAnsi="Times New Roman"/>
                <w:sz w:val="16"/>
                <w:szCs w:val="16"/>
              </w:rPr>
              <w:t>oddział neurochirurgii zabezpieczający możliwość wykonywania hemikraniektomii odbarczającej lub drenażu komorowego, także w ramach dyżuru medycznego, pod warunkiem</w:t>
            </w:r>
            <w:r w:rsidR="00721336">
              <w:rPr>
                <w:rFonts w:ascii="Times New Roman" w:hAnsi="Times New Roman"/>
                <w:sz w:val="16"/>
                <w:szCs w:val="16"/>
              </w:rPr>
              <w:t>,</w:t>
            </w:r>
            <w:r w:rsidRPr="00156841">
              <w:rPr>
                <w:rFonts w:ascii="Times New Roman" w:hAnsi="Times New Roman"/>
                <w:sz w:val="16"/>
                <w:szCs w:val="16"/>
              </w:rPr>
              <w:t xml:space="preserve"> że średni czas dotarcia do tego oddziału transportem sanitarnym nie przekracza 30 minut</w:t>
            </w:r>
            <w:r w:rsidRPr="00156841" w:rsidDel="001568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4723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F13EE8" w:rsidRPr="005505BF">
              <w:rPr>
                <w:rFonts w:ascii="Times New Roman" w:hAnsi="Times New Roman"/>
                <w:sz w:val="16"/>
                <w:szCs w:val="16"/>
              </w:rPr>
              <w:t xml:space="preserve">spełniający </w:t>
            </w:r>
            <w:r w:rsidR="00C74E17">
              <w:rPr>
                <w:rFonts w:ascii="Times New Roman" w:hAnsi="Times New Roman"/>
                <w:sz w:val="16"/>
                <w:szCs w:val="16"/>
              </w:rPr>
              <w:t>warunki</w:t>
            </w:r>
            <w:r w:rsidR="00C74E17" w:rsidRPr="005505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13EE8" w:rsidRPr="005505BF">
              <w:rPr>
                <w:rFonts w:ascii="Times New Roman" w:hAnsi="Times New Roman"/>
                <w:sz w:val="16"/>
                <w:szCs w:val="16"/>
              </w:rPr>
              <w:t>dla danego oddziału określone w załączniku nr 3</w:t>
            </w:r>
            <w:r w:rsidR="00721336">
              <w:rPr>
                <w:rFonts w:ascii="Times New Roman" w:hAnsi="Times New Roman"/>
                <w:sz w:val="16"/>
                <w:szCs w:val="16"/>
              </w:rPr>
              <w:t xml:space="preserve"> do rozporządzenia</w:t>
            </w:r>
            <w:r w:rsidR="009D4EA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4D9249C" w14:textId="24F3C96E" w:rsidR="00F13EE8" w:rsidRPr="008E0503" w:rsidRDefault="00F13EE8" w:rsidP="00F13EE8">
            <w:pPr>
              <w:spacing w:after="1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EE8" w:rsidRPr="008E0503" w14:paraId="57CF5A9D" w14:textId="77777777" w:rsidTr="00604C06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2447E" w14:textId="77777777" w:rsidR="00F13EE8" w:rsidRPr="008E0503" w:rsidRDefault="00F13EE8" w:rsidP="00604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9A76CF" w14:textId="77777777" w:rsidR="00F13EE8" w:rsidRPr="008E0503" w:rsidRDefault="00F13EE8" w:rsidP="00604C06">
            <w:pPr>
              <w:rPr>
                <w:rFonts w:ascii="Times New Roman" w:hAnsi="Times New Roman"/>
                <w:sz w:val="24"/>
                <w:szCs w:val="24"/>
              </w:rPr>
            </w:pPr>
            <w:r w:rsidRPr="008E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9F4C" w14:textId="65DA687C" w:rsidR="00F13EE8" w:rsidRPr="008E0503" w:rsidRDefault="00F13EE8" w:rsidP="00604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503">
              <w:rPr>
                <w:rFonts w:ascii="Times New Roman" w:hAnsi="Times New Roman"/>
                <w:sz w:val="16"/>
                <w:szCs w:val="16"/>
              </w:rPr>
              <w:t>Personel</w:t>
            </w:r>
          </w:p>
          <w:p w14:paraId="1607CDA6" w14:textId="77777777" w:rsidR="00F13EE8" w:rsidRPr="008E0503" w:rsidRDefault="00F13EE8" w:rsidP="00604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AF4A" w14:textId="77777777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W trakcie zabiegu:</w:t>
            </w:r>
          </w:p>
          <w:p w14:paraId="300E6A28" w14:textId="448F5CC3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1) lekarz specjalista w dziedzinie: rentgenodiagnostyki lub radiologii, lub radiodiagnostyki, lub radiologii i diagnostyki obrazowej, lub w dziedzinie neurochirurgii lub neurochirurgii i neurotraumatologii, lub w dziedzinie kardiologii</w:t>
            </w:r>
            <w:r w:rsidR="0073341F">
              <w:rPr>
                <w:rFonts w:ascii="Times New Roman" w:hAnsi="Times New Roman"/>
                <w:sz w:val="16"/>
                <w:szCs w:val="16"/>
              </w:rPr>
              <w:t xml:space="preserve"> inwazyjnej, który spełnia</w:t>
            </w:r>
            <w:r w:rsidR="00E50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 xml:space="preserve">wymagania samodzielnego operatora według Asocjacji Interwencji Sercowo-Naczyniowych Polskiego Towarzystwa Kardiologicznego, lub w dziedzinie neurologii, lub w dziedzinie angiologii, lub w dziedzinie chirurgii naczyniowej – z doświadczeniem w wykonywaniu zabiegów z zakresu neuroradiologii zabiegowej, potwierdzonym przez </w:t>
            </w:r>
            <w:r w:rsidR="00A927E2">
              <w:rPr>
                <w:rFonts w:ascii="Times New Roman" w:hAnsi="Times New Roman"/>
                <w:sz w:val="16"/>
                <w:szCs w:val="16"/>
              </w:rPr>
              <w:t>k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 xml:space="preserve">onsultanta </w:t>
            </w:r>
            <w:r w:rsidR="00A927E2">
              <w:rPr>
                <w:rFonts w:ascii="Times New Roman" w:hAnsi="Times New Roman"/>
                <w:sz w:val="16"/>
                <w:szCs w:val="16"/>
              </w:rPr>
              <w:t>w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>ojewódzkiego właściwego dla specjalizacji tego lekarza, obejmującym:</w:t>
            </w:r>
          </w:p>
          <w:p w14:paraId="2F0D48EC" w14:textId="60185942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a) uczestnictwo w co najmniej 150 zabiegach z zakresu neuroradiologii, w tym co najmniej 50 zabieg</w:t>
            </w:r>
            <w:r w:rsidR="00002F5D">
              <w:rPr>
                <w:rFonts w:ascii="Times New Roman" w:hAnsi="Times New Roman"/>
                <w:sz w:val="16"/>
                <w:szCs w:val="16"/>
              </w:rPr>
              <w:t>ach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 xml:space="preserve"> przeprowadzonych samodzielnie</w:t>
            </w:r>
            <w:r w:rsidR="00880C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840">
              <w:rPr>
                <w:rFonts w:ascii="Times New Roman" w:hAnsi="Times New Roman"/>
                <w:sz w:val="16"/>
                <w:szCs w:val="16"/>
              </w:rPr>
              <w:t>(w</w:t>
            </w:r>
            <w:r w:rsidR="00D27840" w:rsidRPr="00721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 xml:space="preserve">tej liczbie zabiegów uwzględnia się zabiegi: </w:t>
            </w:r>
          </w:p>
          <w:p w14:paraId="0480C063" w14:textId="2A0D4F9F" w:rsidR="00EC43D3" w:rsidRDefault="00320E54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EC43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>trombektomi</w:t>
            </w:r>
            <w:r w:rsidR="00002F5D">
              <w:rPr>
                <w:rFonts w:ascii="Times New Roman" w:hAnsi="Times New Roman"/>
                <w:sz w:val="16"/>
                <w:szCs w:val="16"/>
              </w:rPr>
              <w:t>i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 xml:space="preserve"> mechaniczn</w:t>
            </w:r>
            <w:r w:rsidR="00002F5D">
              <w:rPr>
                <w:rFonts w:ascii="Times New Roman" w:hAnsi="Times New Roman"/>
                <w:sz w:val="16"/>
                <w:szCs w:val="16"/>
              </w:rPr>
              <w:t>ej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1A668796" w14:textId="38D993E1" w:rsidR="00721336" w:rsidRPr="00721336" w:rsidRDefault="00320E54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EC43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>zaopatrywani</w:t>
            </w:r>
            <w:r w:rsidR="00002F5D">
              <w:rPr>
                <w:rFonts w:ascii="Times New Roman" w:hAnsi="Times New Roman"/>
                <w:sz w:val="16"/>
                <w:szCs w:val="16"/>
              </w:rPr>
              <w:t>a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 xml:space="preserve"> malformacji naczyń mózgowych; embolizacja </w:t>
            </w:r>
            <w:r w:rsidR="00EC43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 xml:space="preserve">tętniaków, naczyniaków, przetok; </w:t>
            </w:r>
            <w:r w:rsidR="00EC43D3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>zakładani</w:t>
            </w:r>
            <w:r w:rsidR="005E198C">
              <w:rPr>
                <w:rFonts w:ascii="Times New Roman" w:hAnsi="Times New Roman"/>
                <w:sz w:val="16"/>
                <w:szCs w:val="16"/>
              </w:rPr>
              <w:t>a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 xml:space="preserve"> stentów do naczyń wewnątrzczaszkowych) albo </w:t>
            </w:r>
          </w:p>
          <w:p w14:paraId="29F8216C" w14:textId="099EF37A" w:rsidR="00721336" w:rsidRPr="00721336" w:rsidRDefault="00320E54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EC43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>wykonani</w:t>
            </w:r>
            <w:r w:rsidR="005E198C">
              <w:rPr>
                <w:rFonts w:ascii="Times New Roman" w:hAnsi="Times New Roman"/>
                <w:sz w:val="16"/>
                <w:szCs w:val="16"/>
              </w:rPr>
              <w:t>a</w:t>
            </w:r>
            <w:r w:rsidR="00721336" w:rsidRPr="00721336">
              <w:rPr>
                <w:rFonts w:ascii="Times New Roman" w:hAnsi="Times New Roman"/>
                <w:sz w:val="16"/>
                <w:szCs w:val="16"/>
              </w:rPr>
              <w:t xml:space="preserve"> 50 zabiegów z zakresu endowaskularnego leczenia tętnic domózgowych i wewnątrzczaszkowych (w tym co najmniej 25 zabiegów leczenia tętnic wewnątrzczaszkowych wykonanych samodzielnie lub w obecności proktora, który wykonał samodzielnie co najmniej 100 zabiegów na tętnicach wewnątrzczaszkowych),</w:t>
            </w:r>
          </w:p>
          <w:p w14:paraId="2F26FFDB" w14:textId="47951991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b) doświadczenie w wykonywaniu trombektomii mechanicznej, w tym co najmniej;</w:t>
            </w:r>
          </w:p>
          <w:p w14:paraId="514D03DE" w14:textId="580BD050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 xml:space="preserve">− </w:t>
            </w:r>
            <w:r w:rsidR="005E198C">
              <w:rPr>
                <w:rFonts w:ascii="Times New Roman" w:hAnsi="Times New Roman"/>
                <w:sz w:val="16"/>
                <w:szCs w:val="16"/>
              </w:rPr>
              <w:t xml:space="preserve">wykonanie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>10 zabiegów przeprowadzonych samodzielnie lub w obecności proktora w okresie ostatnich 12 miesięcy,</w:t>
            </w:r>
          </w:p>
          <w:p w14:paraId="129A3125" w14:textId="77777777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 xml:space="preserve">− uzyskanie certyfikatu ukończenia kursu doskonalącego organizowanego przez Centrum </w:t>
            </w:r>
          </w:p>
          <w:p w14:paraId="187B537F" w14:textId="31EF57B4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 xml:space="preserve">Medyczne Kształcenia Podyplomowego: „Wewnątrznaczyniowe leczenie udarów niedokrwiennych mózgu” lub </w:t>
            </w:r>
            <w:r w:rsidR="005E198C" w:rsidRPr="00721336">
              <w:rPr>
                <w:rFonts w:ascii="Times New Roman" w:hAnsi="Times New Roman"/>
                <w:sz w:val="16"/>
                <w:szCs w:val="16"/>
              </w:rPr>
              <w:t>certyfikat</w:t>
            </w:r>
            <w:r w:rsidR="005E198C">
              <w:rPr>
                <w:rFonts w:ascii="Times New Roman" w:hAnsi="Times New Roman"/>
                <w:sz w:val="16"/>
                <w:szCs w:val="16"/>
              </w:rPr>
              <w:t>u</w:t>
            </w:r>
            <w:r w:rsidR="005E198C" w:rsidRPr="00721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198C">
              <w:rPr>
                <w:rFonts w:ascii="Times New Roman" w:hAnsi="Times New Roman"/>
                <w:sz w:val="16"/>
                <w:szCs w:val="16"/>
              </w:rPr>
              <w:t xml:space="preserve">ukończenia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>kursu w zagranicznym ośrodku wykonującym trombektomie</w:t>
            </w:r>
            <w:r w:rsidRPr="00721336" w:rsidDel="00721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>mechaniczne tętnic wewnątrzczaszkowych</w:t>
            </w:r>
            <w:r w:rsidR="005E198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t>odnawianych nie rzadziej niż co 3 lata,</w:t>
            </w:r>
          </w:p>
          <w:p w14:paraId="4E3EFE43" w14:textId="77777777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 xml:space="preserve">c) dla lekarzy specjalistów niebędących specjalistami w dziedzinie rentgenodiagnostyki lub </w:t>
            </w:r>
          </w:p>
          <w:p w14:paraId="3B1B7CD4" w14:textId="4154A332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 xml:space="preserve">radiologii, lub radiodiagnostyki, lub radiologii i diagnostyki obrazowej, lub neurochirurgii lub </w:t>
            </w:r>
            <w:r w:rsidRPr="00721336">
              <w:rPr>
                <w:rFonts w:ascii="Times New Roman" w:hAnsi="Times New Roman"/>
                <w:sz w:val="16"/>
                <w:szCs w:val="16"/>
              </w:rPr>
              <w:lastRenderedPageBreak/>
              <w:t>neurochirurgii i neurotraumatologii, lub neurologii odbycie 3-miesięcznego stażu obejmującego zapoznanie się z organizacją pracy w oddziale o profilu neurologia z oddziałem lub pododdziałem udarowym oraz obowiązującym postępowaniem w zakresie nieinwazyjnej diagnostyki neuroradiologicznej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521F77E9" w14:textId="670586E9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2) lekarz specjalista w dziedzinie anestezjologii lub anestezjologii i reanimacji, lub anestezjologii i intensywnej terapii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0B0EEC4" w14:textId="5A157900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3) dwie pielęgniarki operacyjne z co najmniej rocznym doświadczeniem w instrumentowaniu do zabiegów wewnątrznaczyniowych, z których co najmniej jedna osoba to:</w:t>
            </w:r>
          </w:p>
          <w:p w14:paraId="6EC48F7F" w14:textId="77777777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a) specjalista w dziedzinie pielęgniarstwa operacyjnego albo w trakcie tej specjalizacji lub</w:t>
            </w:r>
          </w:p>
          <w:p w14:paraId="79E5F79D" w14:textId="04CFE579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b) pielęgniarka po kursie kwalifikacyjnym w dziedzinie pielęgniarstwa operacyjnego albo w jego trakcie,</w:t>
            </w:r>
          </w:p>
          <w:p w14:paraId="11985EC8" w14:textId="252C99AA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c) pielęgniarka specjalista w dziedzinie pielęgniarstwa anestezjologicznego i intensywnej opieki albo w trakcie tej specjalizacji lub pielęgniarka po kursie kwalifikacyjnym w dziedzinie pielęgniarstwa anestezjologicznego i intensywnej opieki albo w jego trakcie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975D093" w14:textId="3B0FDB09" w:rsidR="001D1658" w:rsidRPr="008E0503" w:rsidRDefault="00721336" w:rsidP="009D4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4) technik elektroradiolog</w:t>
            </w:r>
            <w:r w:rsidR="00320E54">
              <w:rPr>
                <w:rFonts w:ascii="Times New Roman" w:hAnsi="Times New Roman"/>
                <w:sz w:val="16"/>
                <w:szCs w:val="16"/>
              </w:rPr>
              <w:t>.</w:t>
            </w:r>
            <w:r w:rsidRPr="00721336" w:rsidDel="00721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3EE8" w:rsidRPr="008E0503" w14:paraId="79F685D0" w14:textId="77777777" w:rsidTr="00604C06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0A2DD" w14:textId="77777777" w:rsidR="00F13EE8" w:rsidRPr="008E0503" w:rsidRDefault="00F13EE8" w:rsidP="00604C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A4F4F7" w14:textId="77777777" w:rsidR="00F13EE8" w:rsidRPr="008E0503" w:rsidRDefault="00F13EE8" w:rsidP="00604C06">
            <w:pPr>
              <w:rPr>
                <w:rFonts w:ascii="Times New Roman" w:hAnsi="Times New Roman"/>
                <w:sz w:val="24"/>
                <w:szCs w:val="24"/>
              </w:rPr>
            </w:pPr>
            <w:r w:rsidRPr="008E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8B29" w14:textId="77AC708F" w:rsidR="00F13EE8" w:rsidRPr="008E0503" w:rsidRDefault="00F13EE8" w:rsidP="00604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503">
              <w:rPr>
                <w:rFonts w:ascii="Times New Roman" w:hAnsi="Times New Roman"/>
                <w:sz w:val="16"/>
                <w:szCs w:val="16"/>
              </w:rPr>
              <w:t>Wyposażenie w sprzęt i aparaturę medyczną</w:t>
            </w:r>
          </w:p>
          <w:p w14:paraId="69257F28" w14:textId="77777777" w:rsidR="00F13EE8" w:rsidRPr="008E0503" w:rsidRDefault="00F13EE8" w:rsidP="00604C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EAB4" w14:textId="77777777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W miejscu wykonywania zabiegu:</w:t>
            </w:r>
          </w:p>
          <w:p w14:paraId="614AAAE5" w14:textId="09F44D7C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1) angiograf stacjonarny z możliwością wykonywania zabiegów neuroradiologicznych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C6AFC4F" w14:textId="7C4D4C75" w:rsidR="00440417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2) urządzenie przeznaczone do usuwania zakrzepu lub zatoru z tętnic wewnątrzczaszkowych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36A9A99" w14:textId="6A52BEA9" w:rsidR="00440417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3) urządzenie przeznaczone do angioplastyki z lub bez implantacji stentu do krytycznie zwężonego naczynia domózgowego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0511092" w14:textId="036943CC" w:rsidR="002F06C8" w:rsidRDefault="00721336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4) system informatyczny służący do analizy post-processingowej obrazowania mózgu u chorych na udar niedokrwienny mózgu.</w:t>
            </w:r>
            <w:r w:rsidRPr="00721336" w:rsidDel="00721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CF93AD3" w14:textId="77777777" w:rsidR="002F06C8" w:rsidRDefault="002F06C8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1C91FE7" w14:textId="16A1E02A" w:rsidR="00721336" w:rsidRDefault="0013727A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Zapewnienie realizacji badań w</w:t>
            </w:r>
            <w:r w:rsidR="00440417" w:rsidRPr="00440417">
              <w:rPr>
                <w:rFonts w:ascii="Times New Roman" w:hAnsi="Times New Roman"/>
                <w:sz w:val="16"/>
                <w:szCs w:val="16"/>
              </w:rPr>
              <w:t xml:space="preserve"> lokalizacji</w:t>
            </w:r>
            <w:r w:rsidR="00440417">
              <w:rPr>
                <w:rFonts w:ascii="Times New Roman" w:hAnsi="Times New Roman"/>
                <w:sz w:val="16"/>
                <w:szCs w:val="16"/>
              </w:rPr>
              <w:t>,</w:t>
            </w:r>
            <w:r w:rsidR="00440417" w:rsidRPr="00440417">
              <w:rPr>
                <w:rFonts w:ascii="Times New Roman" w:hAnsi="Times New Roman"/>
                <w:sz w:val="16"/>
                <w:szCs w:val="16"/>
              </w:rPr>
              <w:t xml:space="preserve"> z całodobową możliwością wykonywania badań we wszystkie dni tygodnia</w:t>
            </w:r>
            <w:r w:rsidR="00721336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7BD43B90" w14:textId="6EA35E9D" w:rsidR="00721336" w:rsidRP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1) tomografii komputerowej (TK) z opcją naczyniową oraz perfuzją TK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7FE09E3" w14:textId="37BA28DE" w:rsidR="00721336" w:rsidRDefault="00721336" w:rsidP="00721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1336">
              <w:rPr>
                <w:rFonts w:ascii="Times New Roman" w:hAnsi="Times New Roman"/>
                <w:sz w:val="16"/>
                <w:szCs w:val="16"/>
              </w:rPr>
              <w:t>2) rezonansu magnetycznego (RM) z opcją naczyniową oraz dyfuzją i perfuzją RM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  <w:r w:rsidR="000B2BE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7FA575F" w14:textId="7BBE9C5E" w:rsidR="001D1658" w:rsidRPr="008E0503" w:rsidRDefault="003835F4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44644">
              <w:rPr>
                <w:rFonts w:ascii="Times New Roman" w:hAnsi="Times New Roman"/>
                <w:sz w:val="16"/>
                <w:szCs w:val="16"/>
              </w:rPr>
              <w:t xml:space="preserve">cyfrowej </w:t>
            </w:r>
            <w:r w:rsidR="00C018CF">
              <w:rPr>
                <w:rFonts w:ascii="Times New Roman" w:hAnsi="Times New Roman"/>
                <w:sz w:val="16"/>
                <w:szCs w:val="16"/>
              </w:rPr>
              <w:t>angiografii</w:t>
            </w:r>
            <w:r w:rsidR="00786E4A">
              <w:rPr>
                <w:rFonts w:ascii="Times New Roman" w:hAnsi="Times New Roman"/>
                <w:sz w:val="16"/>
                <w:szCs w:val="16"/>
              </w:rPr>
              <w:t xml:space="preserve"> subtrakcyjnej</w:t>
            </w:r>
            <w:r w:rsidR="00320E5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13EE8" w:rsidRPr="008E0503" w14:paraId="7F827C29" w14:textId="77777777" w:rsidTr="00604C06"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88682" w14:textId="77777777" w:rsidR="00F13EE8" w:rsidRPr="008E0503" w:rsidRDefault="00F13EE8" w:rsidP="00F13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CCEC24" w14:textId="77777777" w:rsidR="00F13EE8" w:rsidRPr="008E0503" w:rsidRDefault="00F13EE8" w:rsidP="00F13EE8">
            <w:pPr>
              <w:rPr>
                <w:rFonts w:ascii="Times New Roman" w:hAnsi="Times New Roman"/>
                <w:sz w:val="24"/>
                <w:szCs w:val="24"/>
              </w:rPr>
            </w:pPr>
            <w:r w:rsidRPr="008E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FB2F" w14:textId="0BE3F0B8" w:rsidR="00F13EE8" w:rsidRPr="00F13EE8" w:rsidRDefault="004D4999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Kryteria</w:t>
            </w:r>
            <w:r w:rsidRPr="00F13E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13EE8" w:rsidRPr="00F13EE8">
              <w:rPr>
                <w:rFonts w:ascii="Times New Roman" w:hAnsi="Times New Roman"/>
                <w:sz w:val="16"/>
                <w:szCs w:val="16"/>
              </w:rPr>
              <w:t xml:space="preserve">kwalifikacji </w:t>
            </w:r>
            <w:r w:rsidR="00F55B36">
              <w:rPr>
                <w:rFonts w:ascii="Times New Roman" w:hAnsi="Times New Roman"/>
                <w:sz w:val="16"/>
                <w:szCs w:val="16"/>
              </w:rPr>
              <w:t xml:space="preserve">do świadczenia </w:t>
            </w:r>
            <w:r w:rsidR="00F13EE8" w:rsidRPr="00F13EE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C10C" w14:textId="57542DE8" w:rsidR="00F13EE8" w:rsidRDefault="00F13EE8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EE8">
              <w:rPr>
                <w:rFonts w:ascii="Times New Roman" w:hAnsi="Times New Roman"/>
                <w:sz w:val="16"/>
                <w:szCs w:val="16"/>
              </w:rPr>
              <w:t xml:space="preserve">Do udzielenia świadczenia </w:t>
            </w:r>
            <w:r w:rsidR="008570DA" w:rsidRPr="00F13EE8">
              <w:rPr>
                <w:rFonts w:ascii="Times New Roman" w:hAnsi="Times New Roman"/>
                <w:sz w:val="16"/>
                <w:szCs w:val="16"/>
              </w:rPr>
              <w:t xml:space="preserve">są </w:t>
            </w:r>
            <w:r w:rsidRPr="00F13EE8">
              <w:rPr>
                <w:rFonts w:ascii="Times New Roman" w:hAnsi="Times New Roman"/>
                <w:sz w:val="16"/>
                <w:szCs w:val="16"/>
              </w:rPr>
              <w:t xml:space="preserve">kwalifikowani świadczeniobiorcy </w:t>
            </w:r>
            <w:r w:rsidR="005E78F5">
              <w:rPr>
                <w:rFonts w:ascii="Times New Roman" w:hAnsi="Times New Roman"/>
                <w:sz w:val="16"/>
                <w:szCs w:val="16"/>
              </w:rPr>
              <w:t>w ostrej fazie udaru niedokrwiennego mózgu (ICD-10: I63 Zawał mózgu</w:t>
            </w:r>
            <w:r w:rsidR="000421C4">
              <w:rPr>
                <w:rFonts w:ascii="Times New Roman" w:hAnsi="Times New Roman"/>
                <w:sz w:val="16"/>
                <w:szCs w:val="16"/>
              </w:rPr>
              <w:t>)</w:t>
            </w:r>
            <w:r w:rsidR="009B0B70">
              <w:rPr>
                <w:rFonts w:ascii="Times New Roman" w:hAnsi="Times New Roman"/>
                <w:sz w:val="16"/>
                <w:szCs w:val="16"/>
              </w:rPr>
              <w:t>,</w:t>
            </w:r>
            <w:r w:rsidR="005E78F5">
              <w:rPr>
                <w:rFonts w:ascii="Times New Roman" w:hAnsi="Times New Roman"/>
                <w:sz w:val="16"/>
                <w:szCs w:val="16"/>
              </w:rPr>
              <w:t xml:space="preserve"> u których</w:t>
            </w:r>
            <w:r w:rsidRPr="00F13EE8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73752657" w14:textId="5BDA22F7" w:rsidR="00F55B36" w:rsidRPr="00F13EE8" w:rsidRDefault="00F55B36" w:rsidP="00F55B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5B36">
              <w:rPr>
                <w:rFonts w:ascii="Times New Roman" w:hAnsi="Times New Roman"/>
                <w:sz w:val="16"/>
                <w:szCs w:val="16"/>
              </w:rPr>
              <w:t xml:space="preserve">1) doszło do zamknięcia przez zator lub zakrzep następujących tętnic wewnątrzczaszkowych: tętnicy szyjnej wewnętrznej, segmentu M1 tętnicy mózgu środkowej, segmentu M2 tętnicy mózgu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środkowej, segmentu A1 tętnicy mózgu przedniej, segmentu A2 </w:t>
            </w:r>
            <w:r w:rsidR="0013727A">
              <w:rPr>
                <w:rFonts w:ascii="Times New Roman" w:hAnsi="Times New Roman"/>
                <w:sz w:val="16"/>
                <w:szCs w:val="16"/>
              </w:rPr>
              <w:t xml:space="preserve">przedniej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>tętnicy mózgu</w:t>
            </w:r>
            <w:r w:rsidR="007756DF">
              <w:rPr>
                <w:rFonts w:ascii="Times New Roman" w:hAnsi="Times New Roman"/>
                <w:sz w:val="16"/>
                <w:szCs w:val="16"/>
              </w:rPr>
              <w:t>,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 tętnicy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mózgu </w:t>
            </w:r>
            <w:r w:rsidR="00786E4A" w:rsidRPr="00F55B36">
              <w:rPr>
                <w:rFonts w:ascii="Times New Roman" w:hAnsi="Times New Roman"/>
                <w:sz w:val="16"/>
                <w:szCs w:val="16"/>
              </w:rPr>
              <w:t>podstawnej,</w:t>
            </w:r>
            <w:r w:rsidR="00786E4A">
              <w:rPr>
                <w:rFonts w:ascii="Times New Roman" w:hAnsi="Times New Roman"/>
                <w:sz w:val="16"/>
                <w:szCs w:val="16"/>
              </w:rPr>
              <w:t xml:space="preserve"> tętnicy mózgu tylnej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 lub tętnicy kręgowej o ile skutkuje on</w:t>
            </w:r>
            <w:r w:rsidR="00786E4A">
              <w:rPr>
                <w:rFonts w:ascii="Times New Roman" w:hAnsi="Times New Roman"/>
                <w:sz w:val="16"/>
                <w:szCs w:val="16"/>
              </w:rPr>
              <w:t>o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 zatrzymaniem przepływu krwi przez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>tętnicę mózgu podstawną</w:t>
            </w:r>
            <w:r w:rsidR="00320E54">
              <w:rPr>
                <w:rFonts w:ascii="Times New Roman" w:hAnsi="Times New Roman"/>
                <w:sz w:val="16"/>
                <w:szCs w:val="16"/>
              </w:rPr>
              <w:t>;</w:t>
            </w:r>
            <w:r w:rsidR="00E6398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2) wynik badania neuroobrazowego, w tym tomografii komputerowej z opcją naczyniową lub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 xml:space="preserve">rezonansu magnetycznego z opcją naczyniową lub cyfrowej angiografii subtrakcyjnej, wskazuje 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5B36">
              <w:rPr>
                <w:rFonts w:ascii="Times New Roman" w:hAnsi="Times New Roman"/>
                <w:sz w:val="16"/>
                <w:szCs w:val="16"/>
              </w:rPr>
              <w:t>wysokie prawdopodobieństwo ostrej niedrożności jednej z ww. tętnic skutkującej wystąpieniem udaru mózgu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2959503" w14:textId="384CAF4C" w:rsidR="001D1658" w:rsidRPr="008E0503" w:rsidRDefault="001D1658" w:rsidP="00EB581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3EE8" w:rsidRPr="008E0503" w14:paraId="20D76A87" w14:textId="77777777" w:rsidTr="007B237A"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F300E" w14:textId="77777777" w:rsidR="00F13EE8" w:rsidRPr="008E0503" w:rsidRDefault="00F13EE8" w:rsidP="00F13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34866" w14:textId="77777777" w:rsidR="00F13EE8" w:rsidRPr="008E0503" w:rsidRDefault="00F13EE8" w:rsidP="00F13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5D8C" w14:textId="4BC3DAEB" w:rsidR="00F13EE8" w:rsidRPr="005505BF" w:rsidRDefault="00F13EE8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5BF">
              <w:rPr>
                <w:rFonts w:ascii="Times New Roman" w:hAnsi="Times New Roman"/>
                <w:sz w:val="16"/>
                <w:szCs w:val="16"/>
              </w:rPr>
              <w:t>Organizacja udzielania 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889" w14:textId="599B867A" w:rsidR="00721336" w:rsidRPr="00F60EA2" w:rsidRDefault="00721336" w:rsidP="00F60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Zapewnienie kwalifikacji do zabiegu przez zespół</w:t>
            </w:r>
            <w:r w:rsidR="00E404E9">
              <w:rPr>
                <w:rFonts w:ascii="Times New Roman" w:hAnsi="Times New Roman"/>
                <w:sz w:val="16"/>
                <w:szCs w:val="16"/>
              </w:rPr>
              <w:t>,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35D82">
              <w:rPr>
                <w:rFonts w:ascii="Times New Roman" w:hAnsi="Times New Roman"/>
                <w:sz w:val="16"/>
                <w:szCs w:val="16"/>
              </w:rPr>
              <w:br/>
            </w:r>
            <w:r w:rsidR="00576131">
              <w:rPr>
                <w:rFonts w:ascii="Times New Roman" w:hAnsi="Times New Roman"/>
                <w:sz w:val="16"/>
                <w:szCs w:val="16"/>
              </w:rPr>
              <w:t>w skład którego wchodzą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662FF63E" w14:textId="0E20ABC5" w:rsidR="00721336" w:rsidRPr="00F60EA2" w:rsidRDefault="00721336" w:rsidP="00F60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t>1) lekarz specjalist</w:t>
            </w:r>
            <w:r w:rsidR="0063401B">
              <w:rPr>
                <w:rFonts w:ascii="Times New Roman" w:hAnsi="Times New Roman"/>
                <w:sz w:val="16"/>
                <w:szCs w:val="16"/>
              </w:rPr>
              <w:t>a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w dziedzinie neurologii lub lekarz w trakcie specjalizacji w dziedzinie neurologii pod nadzorem </w:t>
            </w:r>
            <w:r w:rsidR="00EB0786">
              <w:rPr>
                <w:rFonts w:ascii="Times New Roman" w:hAnsi="Times New Roman"/>
                <w:sz w:val="16"/>
                <w:szCs w:val="16"/>
              </w:rPr>
              <w:t xml:space="preserve">lekarza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specjalisty w dziedzinie neurologii mającego doświadczenie w zakresie leczenia udarów mózgu</w:t>
            </w:r>
            <w:r w:rsidR="003850FC">
              <w:rPr>
                <w:rFonts w:ascii="Times New Roman" w:hAnsi="Times New Roman"/>
                <w:sz w:val="16"/>
                <w:szCs w:val="16"/>
              </w:rPr>
              <w:t xml:space="preserve"> który nie jest wykonawcą zabiegu;</w:t>
            </w:r>
          </w:p>
          <w:p w14:paraId="4CD460EB" w14:textId="43759141" w:rsidR="00721336" w:rsidRDefault="00721336" w:rsidP="004F68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t>2) lekarz wykon</w:t>
            </w:r>
            <w:r w:rsidR="004F686F">
              <w:rPr>
                <w:rFonts w:ascii="Times New Roman" w:hAnsi="Times New Roman"/>
                <w:sz w:val="16"/>
                <w:szCs w:val="16"/>
              </w:rPr>
              <w:t>ujący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zabieg</w:t>
            </w:r>
            <w:r w:rsidR="004F686F">
              <w:rPr>
                <w:rFonts w:ascii="Times New Roman" w:hAnsi="Times New Roman"/>
                <w:sz w:val="16"/>
                <w:szCs w:val="16"/>
              </w:rPr>
              <w:t>, o którym mowa w części Personel, w pkt 1</w:t>
            </w:r>
            <w:r w:rsidR="005E78F5" w:rsidRPr="0072133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A970345" w14:textId="072AD4BD" w:rsidR="00721336" w:rsidRPr="00F60EA2" w:rsidRDefault="00721336" w:rsidP="00F60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t>2</w:t>
            </w:r>
            <w:r w:rsidR="005E78F5">
              <w:rPr>
                <w:rFonts w:ascii="Times New Roman" w:hAnsi="Times New Roman"/>
                <w:sz w:val="16"/>
                <w:szCs w:val="16"/>
              </w:rPr>
              <w:t>.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Zapewnienie dostępu do konsultacji neurologicznej w trakcie zabiegu.</w:t>
            </w:r>
          </w:p>
          <w:p w14:paraId="6C007DEB" w14:textId="773F2F20" w:rsidR="00721336" w:rsidRPr="00F60EA2" w:rsidRDefault="00721336" w:rsidP="00F60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5E78F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Zapewnienie możliwości wykonywania zabiegów trombektomii mechanicznej tętnic wewnątrzczaszkowych całodobowo przez wszystkie dni tygodnia</w:t>
            </w:r>
            <w:r w:rsidR="00744411">
              <w:rPr>
                <w:rFonts w:ascii="Times New Roman" w:hAnsi="Times New Roman"/>
                <w:sz w:val="16"/>
                <w:szCs w:val="16"/>
              </w:rPr>
              <w:t>, przy czym w przypadku świadczeniodawców realizujących ś</w:t>
            </w:r>
            <w:r w:rsidR="00744411" w:rsidRPr="00744411">
              <w:rPr>
                <w:rFonts w:ascii="Times New Roman" w:hAnsi="Times New Roman"/>
                <w:sz w:val="16"/>
                <w:szCs w:val="16"/>
              </w:rPr>
              <w:t>wiadczeni</w:t>
            </w:r>
            <w:r w:rsidR="00C018CF">
              <w:rPr>
                <w:rFonts w:ascii="Times New Roman" w:hAnsi="Times New Roman"/>
                <w:sz w:val="16"/>
                <w:szCs w:val="16"/>
              </w:rPr>
              <w:t>e</w:t>
            </w:r>
            <w:r w:rsidR="008570DA">
              <w:rPr>
                <w:rFonts w:ascii="Times New Roman" w:hAnsi="Times New Roman"/>
                <w:sz w:val="16"/>
                <w:szCs w:val="16"/>
              </w:rPr>
              <w:t>,</w:t>
            </w:r>
            <w:r w:rsidR="00744411" w:rsidRPr="00744411">
              <w:rPr>
                <w:rFonts w:ascii="Times New Roman" w:hAnsi="Times New Roman"/>
                <w:sz w:val="16"/>
                <w:szCs w:val="16"/>
              </w:rPr>
              <w:t xml:space="preserve"> w tym samym województwie</w:t>
            </w:r>
            <w:r w:rsidR="00C018CF">
              <w:rPr>
                <w:rFonts w:ascii="Times New Roman" w:hAnsi="Times New Roman"/>
                <w:sz w:val="16"/>
                <w:szCs w:val="16"/>
              </w:rPr>
              <w:t>,</w:t>
            </w:r>
            <w:r w:rsidR="00744411" w:rsidRPr="00744411">
              <w:rPr>
                <w:rFonts w:ascii="Times New Roman" w:hAnsi="Times New Roman"/>
                <w:sz w:val="16"/>
                <w:szCs w:val="16"/>
              </w:rPr>
              <w:t xml:space="preserve"> dopuszcza się zawieranie między nimi porozumień o pełnieniu dyżurów pod warunkiem, że odległość między nimi nie przekracza 25 km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FC6B5CA" w14:textId="46CE7CD2" w:rsidR="00721336" w:rsidRPr="00F60EA2" w:rsidRDefault="00721336" w:rsidP="00F60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t>4</w:t>
            </w:r>
            <w:r w:rsidR="005E78F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Konieczność raportowania każdego przypadku wraz z uzyskanym wynikiem zdrowotnym w ramach prowadzonej przez N</w:t>
            </w:r>
            <w:r w:rsidR="00E775A7">
              <w:rPr>
                <w:rFonts w:ascii="Times New Roman" w:hAnsi="Times New Roman"/>
                <w:sz w:val="16"/>
                <w:szCs w:val="16"/>
              </w:rPr>
              <w:t xml:space="preserve">arodowy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F</w:t>
            </w:r>
            <w:r w:rsidR="00E775A7">
              <w:rPr>
                <w:rFonts w:ascii="Times New Roman" w:hAnsi="Times New Roman"/>
                <w:sz w:val="16"/>
                <w:szCs w:val="16"/>
              </w:rPr>
              <w:t xml:space="preserve">undusz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Z</w:t>
            </w:r>
            <w:r w:rsidR="00E775A7">
              <w:rPr>
                <w:rFonts w:ascii="Times New Roman" w:hAnsi="Times New Roman"/>
                <w:sz w:val="16"/>
                <w:szCs w:val="16"/>
              </w:rPr>
              <w:t>drowia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ankiety udarowej.</w:t>
            </w:r>
          </w:p>
          <w:p w14:paraId="622875CF" w14:textId="7A8D5B9E" w:rsidR="00A83AF7" w:rsidRPr="00F60EA2" w:rsidRDefault="00721336" w:rsidP="00F60E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t>5</w:t>
            </w:r>
            <w:r w:rsidR="005E78F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Świadczeniodawca w porozumieniu z wojewodą i dysponentami zespołów ratownictwa medycznego, w tym dysponentem lotniczych zespołów ratownictwa, opracowuje, wdraża i stosuje sformalizowaną procedurę określającą zasady współpracy między lekarzem prowadzącym leczenie i lekarzem wykonującym zabieg a zespołem ratownictwa medycznego.</w:t>
            </w:r>
          </w:p>
          <w:p w14:paraId="4E73EE8C" w14:textId="447726C1" w:rsidR="00EC57B6" w:rsidRDefault="00721336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0EA2">
              <w:rPr>
                <w:rFonts w:ascii="Times New Roman" w:hAnsi="Times New Roman"/>
                <w:sz w:val="16"/>
                <w:szCs w:val="16"/>
              </w:rPr>
              <w:t>6</w:t>
            </w:r>
            <w:r w:rsidR="005E78F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C2509">
              <w:rPr>
                <w:rFonts w:ascii="Times New Roman" w:hAnsi="Times New Roman"/>
                <w:sz w:val="16"/>
                <w:szCs w:val="16"/>
              </w:rPr>
              <w:t>Świadczeniodawca stosuje się do z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asad współpracy między lekarzem prowadzącym leczenie a lekarzem wykonującym zabieg oraz pozostałym personelem medycznym sprawującym opiekę nad </w:t>
            </w:r>
            <w:r w:rsidR="008570DA">
              <w:rPr>
                <w:rFonts w:ascii="Times New Roman" w:hAnsi="Times New Roman"/>
                <w:sz w:val="16"/>
                <w:szCs w:val="16"/>
              </w:rPr>
              <w:t>świadczeniobiorcą</w:t>
            </w:r>
            <w:r w:rsidR="00A72C4E">
              <w:rPr>
                <w:rFonts w:ascii="Times New Roman" w:hAnsi="Times New Roman"/>
                <w:sz w:val="16"/>
                <w:szCs w:val="16"/>
              </w:rPr>
              <w:t>,</w:t>
            </w:r>
            <w:r w:rsidR="00857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>zgodn</w:t>
            </w:r>
            <w:r w:rsidR="00A72C4E">
              <w:rPr>
                <w:rFonts w:ascii="Times New Roman" w:hAnsi="Times New Roman"/>
                <w:sz w:val="16"/>
                <w:szCs w:val="16"/>
              </w:rPr>
              <w:t>ych</w:t>
            </w:r>
            <w:r w:rsidRPr="00F60EA2">
              <w:rPr>
                <w:rFonts w:ascii="Times New Roman" w:hAnsi="Times New Roman"/>
                <w:sz w:val="16"/>
                <w:szCs w:val="16"/>
              </w:rPr>
              <w:t xml:space="preserve"> ze standardami określonymi w aktualnych wytycznych polskich lub europejskich towarzystw naukowych.</w:t>
            </w:r>
          </w:p>
          <w:p w14:paraId="6D5A8190" w14:textId="48B034C9" w:rsidR="005E78F5" w:rsidRDefault="00EC57B6" w:rsidP="00F13E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E78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1336" w:rsidRPr="00F60EA2">
              <w:rPr>
                <w:rFonts w:ascii="Times New Roman" w:hAnsi="Times New Roman"/>
                <w:sz w:val="16"/>
                <w:szCs w:val="16"/>
              </w:rPr>
              <w:t>Lekarz prowadzący leczenie</w:t>
            </w:r>
            <w:r w:rsidR="00E775A7">
              <w:rPr>
                <w:rFonts w:ascii="Times New Roman" w:hAnsi="Times New Roman"/>
                <w:sz w:val="16"/>
                <w:szCs w:val="16"/>
              </w:rPr>
              <w:t>,</w:t>
            </w:r>
            <w:r w:rsidR="00721336" w:rsidRPr="00F60EA2">
              <w:rPr>
                <w:rFonts w:ascii="Times New Roman" w:hAnsi="Times New Roman"/>
                <w:sz w:val="16"/>
                <w:szCs w:val="16"/>
              </w:rPr>
              <w:t xml:space="preserve"> po zakończeniu hospitalizacji</w:t>
            </w:r>
            <w:r w:rsidR="00E775A7">
              <w:rPr>
                <w:rFonts w:ascii="Times New Roman" w:hAnsi="Times New Roman"/>
                <w:sz w:val="16"/>
                <w:szCs w:val="16"/>
              </w:rPr>
              <w:t>,</w:t>
            </w:r>
            <w:r w:rsidR="00721336" w:rsidRPr="00F60EA2">
              <w:rPr>
                <w:rFonts w:ascii="Times New Roman" w:hAnsi="Times New Roman"/>
                <w:sz w:val="16"/>
                <w:szCs w:val="16"/>
              </w:rPr>
              <w:t xml:space="preserve"> przekazuje informację o przeprowadzonym leczeniu udaru mózgu do lekarza podstawowej opieki zdrowotnej</w:t>
            </w:r>
            <w:r w:rsidR="00DF2792">
              <w:rPr>
                <w:rFonts w:ascii="Times New Roman" w:hAnsi="Times New Roman"/>
                <w:sz w:val="16"/>
                <w:szCs w:val="16"/>
              </w:rPr>
              <w:t xml:space="preserve"> wraz z </w:t>
            </w:r>
            <w:r w:rsidR="00A72C4E">
              <w:rPr>
                <w:rFonts w:ascii="Times New Roman" w:hAnsi="Times New Roman"/>
                <w:sz w:val="16"/>
                <w:szCs w:val="16"/>
              </w:rPr>
              <w:t>zalecenia</w:t>
            </w:r>
            <w:r w:rsidR="00DF2792">
              <w:rPr>
                <w:rFonts w:ascii="Times New Roman" w:hAnsi="Times New Roman"/>
                <w:sz w:val="16"/>
                <w:szCs w:val="16"/>
              </w:rPr>
              <w:t>mi</w:t>
            </w:r>
            <w:r w:rsidR="00A72C4E">
              <w:rPr>
                <w:rFonts w:ascii="Times New Roman" w:hAnsi="Times New Roman"/>
                <w:sz w:val="16"/>
                <w:szCs w:val="16"/>
              </w:rPr>
              <w:t xml:space="preserve"> do ich dalszej realizacji w podstawowej opiece zdrowotnej</w:t>
            </w:r>
            <w:r w:rsidR="00721336" w:rsidRPr="005E78F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07AC4AA" w14:textId="1B33F2F9" w:rsidR="00433541" w:rsidRPr="00F13EE8" w:rsidRDefault="00EC57B6" w:rsidP="0043152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4335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Po upływie </w:t>
            </w:r>
            <w:r w:rsidR="003972BD">
              <w:rPr>
                <w:rFonts w:ascii="Times New Roman" w:hAnsi="Times New Roman"/>
                <w:sz w:val="16"/>
                <w:szCs w:val="16"/>
              </w:rPr>
              <w:t xml:space="preserve">każdego </w:t>
            </w:r>
            <w:r w:rsidR="00AF4389">
              <w:rPr>
                <w:rFonts w:ascii="Times New Roman" w:hAnsi="Times New Roman"/>
                <w:sz w:val="16"/>
                <w:szCs w:val="16"/>
              </w:rPr>
              <w:t>12</w:t>
            </w:r>
            <w:r w:rsidR="009D4EA2">
              <w:rPr>
                <w:rFonts w:ascii="Times New Roman" w:hAnsi="Times New Roman"/>
                <w:sz w:val="16"/>
                <w:szCs w:val="16"/>
              </w:rPr>
              <w:t>-</w:t>
            </w:r>
            <w:r w:rsidR="00AF4389">
              <w:rPr>
                <w:rFonts w:ascii="Times New Roman" w:hAnsi="Times New Roman"/>
                <w:sz w:val="16"/>
                <w:szCs w:val="16"/>
              </w:rPr>
              <w:t>miesięc</w:t>
            </w:r>
            <w:r w:rsidR="003972BD">
              <w:rPr>
                <w:rFonts w:ascii="Times New Roman" w:hAnsi="Times New Roman"/>
                <w:sz w:val="16"/>
                <w:szCs w:val="16"/>
              </w:rPr>
              <w:t xml:space="preserve">znego okresu 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realizacji świadczenia, świadczeniodawca </w:t>
            </w:r>
            <w:r w:rsidR="0043152D">
              <w:rPr>
                <w:rFonts w:ascii="Times New Roman" w:hAnsi="Times New Roman"/>
                <w:sz w:val="16"/>
                <w:szCs w:val="16"/>
              </w:rPr>
              <w:t xml:space="preserve">ubiegający się o </w:t>
            </w:r>
            <w:r w:rsidR="00AF4389">
              <w:rPr>
                <w:rFonts w:ascii="Times New Roman" w:hAnsi="Times New Roman"/>
                <w:sz w:val="16"/>
                <w:szCs w:val="16"/>
              </w:rPr>
              <w:t>kontynuacj</w:t>
            </w:r>
            <w:r w:rsidR="0043152D">
              <w:rPr>
                <w:rFonts w:ascii="Times New Roman" w:hAnsi="Times New Roman"/>
                <w:sz w:val="16"/>
                <w:szCs w:val="16"/>
              </w:rPr>
              <w:t>ę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152D">
              <w:rPr>
                <w:rFonts w:ascii="Times New Roman" w:hAnsi="Times New Roman"/>
                <w:sz w:val="16"/>
                <w:szCs w:val="16"/>
              </w:rPr>
              <w:t xml:space="preserve">umowy na </w:t>
            </w:r>
            <w:r w:rsidR="00AF4389">
              <w:rPr>
                <w:rFonts w:ascii="Times New Roman" w:hAnsi="Times New Roman"/>
                <w:sz w:val="16"/>
                <w:szCs w:val="16"/>
              </w:rPr>
              <w:t>realizacj</w:t>
            </w:r>
            <w:r w:rsidR="0043152D">
              <w:rPr>
                <w:rFonts w:ascii="Times New Roman" w:hAnsi="Times New Roman"/>
                <w:sz w:val="16"/>
                <w:szCs w:val="16"/>
              </w:rPr>
              <w:t>ę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świadczenia na kolejny okres,</w:t>
            </w:r>
            <w:r w:rsidR="00433541" w:rsidRPr="004335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152D">
              <w:rPr>
                <w:rFonts w:ascii="Times New Roman" w:hAnsi="Times New Roman"/>
                <w:sz w:val="16"/>
                <w:szCs w:val="16"/>
              </w:rPr>
              <w:t xml:space="preserve">jest </w:t>
            </w:r>
            <w:r w:rsidR="00A927E2">
              <w:rPr>
                <w:rFonts w:ascii="Times New Roman" w:hAnsi="Times New Roman"/>
                <w:sz w:val="16"/>
                <w:szCs w:val="16"/>
              </w:rPr>
              <w:t>obowiązany</w:t>
            </w:r>
            <w:r w:rsidR="00433541" w:rsidRPr="004335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4389">
              <w:rPr>
                <w:rFonts w:ascii="Times New Roman" w:hAnsi="Times New Roman"/>
                <w:sz w:val="16"/>
                <w:szCs w:val="16"/>
              </w:rPr>
              <w:t>uzyskać pozytywn</w:t>
            </w:r>
            <w:r w:rsidR="00CC3CBE">
              <w:rPr>
                <w:rFonts w:ascii="Times New Roman" w:hAnsi="Times New Roman"/>
                <w:sz w:val="16"/>
                <w:szCs w:val="16"/>
              </w:rPr>
              <w:t>ą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opinię </w:t>
            </w:r>
            <w:r w:rsidR="00A927E2">
              <w:rPr>
                <w:rFonts w:ascii="Times New Roman" w:hAnsi="Times New Roman"/>
                <w:sz w:val="16"/>
                <w:szCs w:val="16"/>
              </w:rPr>
              <w:t>k</w:t>
            </w:r>
            <w:r w:rsidR="00433541" w:rsidRPr="00433541">
              <w:rPr>
                <w:rFonts w:ascii="Times New Roman" w:hAnsi="Times New Roman"/>
                <w:sz w:val="16"/>
                <w:szCs w:val="16"/>
              </w:rPr>
              <w:t xml:space="preserve">onsultanta </w:t>
            </w:r>
            <w:r w:rsidR="00A927E2">
              <w:rPr>
                <w:rFonts w:ascii="Times New Roman" w:hAnsi="Times New Roman"/>
                <w:sz w:val="16"/>
                <w:szCs w:val="16"/>
              </w:rPr>
              <w:t>k</w:t>
            </w:r>
            <w:r w:rsidR="00433541" w:rsidRPr="00433541">
              <w:rPr>
                <w:rFonts w:ascii="Times New Roman" w:hAnsi="Times New Roman"/>
                <w:sz w:val="16"/>
                <w:szCs w:val="16"/>
              </w:rPr>
              <w:t>rajowego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w dziedzinie neurologii</w:t>
            </w:r>
            <w:r w:rsidR="00BC5D17">
              <w:rPr>
                <w:rFonts w:ascii="Times New Roman" w:hAnsi="Times New Roman"/>
                <w:sz w:val="16"/>
                <w:szCs w:val="16"/>
              </w:rPr>
              <w:t>,</w:t>
            </w:r>
            <w:r w:rsidR="00433541" w:rsidRPr="004335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5D17">
              <w:rPr>
                <w:rFonts w:ascii="Times New Roman" w:hAnsi="Times New Roman"/>
                <w:sz w:val="16"/>
                <w:szCs w:val="16"/>
              </w:rPr>
              <w:t xml:space="preserve">celem potwierdzenia 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spełniania wytycznych Polskiego Towarzystwa Neurologicznego oraz Europejskiej Organizacji Udaru Mózgu. </w:t>
            </w:r>
            <w:r w:rsidR="00E404E9">
              <w:rPr>
                <w:rFonts w:ascii="Times New Roman" w:hAnsi="Times New Roman"/>
                <w:sz w:val="16"/>
                <w:szCs w:val="16"/>
              </w:rPr>
              <w:t>Świadczeniodawca przekazuje o</w:t>
            </w:r>
            <w:r w:rsidR="00AF4389">
              <w:rPr>
                <w:rFonts w:ascii="Times New Roman" w:hAnsi="Times New Roman"/>
                <w:sz w:val="16"/>
                <w:szCs w:val="16"/>
              </w:rPr>
              <w:t>pini</w:t>
            </w:r>
            <w:r w:rsidR="00E404E9"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 w:rsidR="00AF4389">
              <w:rPr>
                <w:rFonts w:ascii="Times New Roman" w:hAnsi="Times New Roman"/>
                <w:sz w:val="16"/>
                <w:szCs w:val="16"/>
              </w:rPr>
              <w:t>niezwłocznie do właściwego oddziału wojewódzkiego Narodowego Funduszu Zdrowia, który uwzględni</w:t>
            </w:r>
            <w:r w:rsidR="00E404E9">
              <w:rPr>
                <w:rFonts w:ascii="Times New Roman" w:hAnsi="Times New Roman"/>
                <w:sz w:val="16"/>
                <w:szCs w:val="16"/>
              </w:rPr>
              <w:t>a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jej treść w ocenie spełniania przez świadczeniodawcę warunków realizacji świadczenia</w:t>
            </w:r>
            <w:r w:rsidR="0043152D">
              <w:rPr>
                <w:rFonts w:ascii="Times New Roman" w:hAnsi="Times New Roman"/>
                <w:sz w:val="16"/>
                <w:szCs w:val="16"/>
              </w:rPr>
              <w:t>.</w:t>
            </w:r>
            <w:r w:rsidR="00AF43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15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4CCB2D48" w14:textId="17A59F48" w:rsidR="00F13EE8" w:rsidRDefault="00F60EA2">
      <w:r>
        <w:rPr>
          <w:rFonts w:ascii="Times New Roman" w:hAnsi="Times New Roman"/>
          <w:sz w:val="16"/>
          <w:szCs w:val="16"/>
        </w:rPr>
        <w:lastRenderedPageBreak/>
        <w:t xml:space="preserve"> </w:t>
      </w:r>
    </w:p>
    <w:sectPr w:rsidR="00F1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ADF"/>
    <w:multiLevelType w:val="hybridMultilevel"/>
    <w:tmpl w:val="875A0FB0"/>
    <w:lvl w:ilvl="0" w:tplc="51D48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1E9"/>
    <w:multiLevelType w:val="hybridMultilevel"/>
    <w:tmpl w:val="7968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8371C"/>
    <w:multiLevelType w:val="hybridMultilevel"/>
    <w:tmpl w:val="548A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920AE"/>
    <w:multiLevelType w:val="hybridMultilevel"/>
    <w:tmpl w:val="094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6D7"/>
    <w:multiLevelType w:val="hybridMultilevel"/>
    <w:tmpl w:val="DA22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3118"/>
    <w:multiLevelType w:val="hybridMultilevel"/>
    <w:tmpl w:val="F36624DA"/>
    <w:lvl w:ilvl="0" w:tplc="51D48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56"/>
    <w:multiLevelType w:val="hybridMultilevel"/>
    <w:tmpl w:val="66949A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74CC4"/>
    <w:multiLevelType w:val="hybridMultilevel"/>
    <w:tmpl w:val="75C0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0667"/>
    <w:multiLevelType w:val="hybridMultilevel"/>
    <w:tmpl w:val="4EBA9B3C"/>
    <w:lvl w:ilvl="0" w:tplc="304EA02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11128"/>
    <w:multiLevelType w:val="hybridMultilevel"/>
    <w:tmpl w:val="3CD63952"/>
    <w:lvl w:ilvl="0" w:tplc="66B0F2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7129"/>
    <w:multiLevelType w:val="hybridMultilevel"/>
    <w:tmpl w:val="C956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194077">
    <w:abstractNumId w:val="2"/>
  </w:num>
  <w:num w:numId="2" w16cid:durableId="838352047">
    <w:abstractNumId w:val="1"/>
  </w:num>
  <w:num w:numId="3" w16cid:durableId="1019743478">
    <w:abstractNumId w:val="10"/>
  </w:num>
  <w:num w:numId="4" w16cid:durableId="1005091407">
    <w:abstractNumId w:val="4"/>
  </w:num>
  <w:num w:numId="5" w16cid:durableId="1712725387">
    <w:abstractNumId w:val="3"/>
  </w:num>
  <w:num w:numId="6" w16cid:durableId="1830631904">
    <w:abstractNumId w:val="8"/>
  </w:num>
  <w:num w:numId="7" w16cid:durableId="1031340610">
    <w:abstractNumId w:val="7"/>
  </w:num>
  <w:num w:numId="8" w16cid:durableId="498926781">
    <w:abstractNumId w:val="5"/>
  </w:num>
  <w:num w:numId="9" w16cid:durableId="1762872006">
    <w:abstractNumId w:val="0"/>
  </w:num>
  <w:num w:numId="10" w16cid:durableId="660886180">
    <w:abstractNumId w:val="6"/>
  </w:num>
  <w:num w:numId="11" w16cid:durableId="774667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E8"/>
    <w:rsid w:val="00002F5D"/>
    <w:rsid w:val="00021A4D"/>
    <w:rsid w:val="000421C4"/>
    <w:rsid w:val="000439C2"/>
    <w:rsid w:val="0005469D"/>
    <w:rsid w:val="00056E01"/>
    <w:rsid w:val="000B2BEE"/>
    <w:rsid w:val="000B3942"/>
    <w:rsid w:val="000C7676"/>
    <w:rsid w:val="000D3068"/>
    <w:rsid w:val="000F79F6"/>
    <w:rsid w:val="000F7F78"/>
    <w:rsid w:val="00112B45"/>
    <w:rsid w:val="00114822"/>
    <w:rsid w:val="0013727A"/>
    <w:rsid w:val="001415DC"/>
    <w:rsid w:val="00143219"/>
    <w:rsid w:val="001472C2"/>
    <w:rsid w:val="00150411"/>
    <w:rsid w:val="00156841"/>
    <w:rsid w:val="001706F1"/>
    <w:rsid w:val="0019480D"/>
    <w:rsid w:val="0019620E"/>
    <w:rsid w:val="001B1503"/>
    <w:rsid w:val="001B4BE9"/>
    <w:rsid w:val="001C3574"/>
    <w:rsid w:val="001D1658"/>
    <w:rsid w:val="001F7387"/>
    <w:rsid w:val="00203686"/>
    <w:rsid w:val="00216905"/>
    <w:rsid w:val="002179A9"/>
    <w:rsid w:val="00224461"/>
    <w:rsid w:val="00230CD3"/>
    <w:rsid w:val="00237F0D"/>
    <w:rsid w:val="0024562C"/>
    <w:rsid w:val="002A2EA1"/>
    <w:rsid w:val="002A40F3"/>
    <w:rsid w:val="002A6510"/>
    <w:rsid w:val="002C006E"/>
    <w:rsid w:val="002D52CC"/>
    <w:rsid w:val="002D563F"/>
    <w:rsid w:val="002D5C2E"/>
    <w:rsid w:val="002D66E3"/>
    <w:rsid w:val="002D7AE5"/>
    <w:rsid w:val="002F06C8"/>
    <w:rsid w:val="002F5BEC"/>
    <w:rsid w:val="003172C6"/>
    <w:rsid w:val="00320E54"/>
    <w:rsid w:val="00321E68"/>
    <w:rsid w:val="00324DCD"/>
    <w:rsid w:val="00362245"/>
    <w:rsid w:val="00376D8A"/>
    <w:rsid w:val="00380D25"/>
    <w:rsid w:val="003835F4"/>
    <w:rsid w:val="003850FC"/>
    <w:rsid w:val="00390250"/>
    <w:rsid w:val="00392687"/>
    <w:rsid w:val="00394EB9"/>
    <w:rsid w:val="003972BD"/>
    <w:rsid w:val="003A2BAB"/>
    <w:rsid w:val="003A4723"/>
    <w:rsid w:val="003B3F8B"/>
    <w:rsid w:val="003C1559"/>
    <w:rsid w:val="003C7A73"/>
    <w:rsid w:val="003D0241"/>
    <w:rsid w:val="004012B7"/>
    <w:rsid w:val="004078AC"/>
    <w:rsid w:val="00416712"/>
    <w:rsid w:val="0043152D"/>
    <w:rsid w:val="00433541"/>
    <w:rsid w:val="00440417"/>
    <w:rsid w:val="00455D7D"/>
    <w:rsid w:val="0045724B"/>
    <w:rsid w:val="004B5350"/>
    <w:rsid w:val="004D4999"/>
    <w:rsid w:val="004E4C44"/>
    <w:rsid w:val="004F686F"/>
    <w:rsid w:val="0050282D"/>
    <w:rsid w:val="005040D3"/>
    <w:rsid w:val="00506214"/>
    <w:rsid w:val="005318CB"/>
    <w:rsid w:val="0055282F"/>
    <w:rsid w:val="00556B00"/>
    <w:rsid w:val="005709A9"/>
    <w:rsid w:val="00576131"/>
    <w:rsid w:val="005810A0"/>
    <w:rsid w:val="00581E5B"/>
    <w:rsid w:val="00587B09"/>
    <w:rsid w:val="005B02DD"/>
    <w:rsid w:val="005C5497"/>
    <w:rsid w:val="005C5F8C"/>
    <w:rsid w:val="005E198C"/>
    <w:rsid w:val="005E78F5"/>
    <w:rsid w:val="005F2B03"/>
    <w:rsid w:val="005F3F59"/>
    <w:rsid w:val="00601389"/>
    <w:rsid w:val="006116AB"/>
    <w:rsid w:val="00631BAD"/>
    <w:rsid w:val="0063401B"/>
    <w:rsid w:val="0064155D"/>
    <w:rsid w:val="006433EC"/>
    <w:rsid w:val="00655F87"/>
    <w:rsid w:val="00666899"/>
    <w:rsid w:val="0067695D"/>
    <w:rsid w:val="0069240D"/>
    <w:rsid w:val="006A048F"/>
    <w:rsid w:val="006B0201"/>
    <w:rsid w:val="006D3AD9"/>
    <w:rsid w:val="006E784E"/>
    <w:rsid w:val="006F5F18"/>
    <w:rsid w:val="00721336"/>
    <w:rsid w:val="0073341F"/>
    <w:rsid w:val="007425BF"/>
    <w:rsid w:val="00744411"/>
    <w:rsid w:val="007742AF"/>
    <w:rsid w:val="007756DF"/>
    <w:rsid w:val="00786E4A"/>
    <w:rsid w:val="007870D5"/>
    <w:rsid w:val="007A3BA5"/>
    <w:rsid w:val="007B237A"/>
    <w:rsid w:val="007B7080"/>
    <w:rsid w:val="007C6262"/>
    <w:rsid w:val="007D4124"/>
    <w:rsid w:val="008238FD"/>
    <w:rsid w:val="008248C1"/>
    <w:rsid w:val="008309EF"/>
    <w:rsid w:val="00841E56"/>
    <w:rsid w:val="008441F0"/>
    <w:rsid w:val="00852157"/>
    <w:rsid w:val="0085467A"/>
    <w:rsid w:val="008570DA"/>
    <w:rsid w:val="0086175A"/>
    <w:rsid w:val="008746EF"/>
    <w:rsid w:val="00877D40"/>
    <w:rsid w:val="00880C26"/>
    <w:rsid w:val="00882042"/>
    <w:rsid w:val="008A3549"/>
    <w:rsid w:val="008B7629"/>
    <w:rsid w:val="008C4151"/>
    <w:rsid w:val="008D0A9C"/>
    <w:rsid w:val="008D3A4C"/>
    <w:rsid w:val="008E00F2"/>
    <w:rsid w:val="008E3743"/>
    <w:rsid w:val="008E7B1C"/>
    <w:rsid w:val="00907C6E"/>
    <w:rsid w:val="009161BC"/>
    <w:rsid w:val="00923837"/>
    <w:rsid w:val="00933281"/>
    <w:rsid w:val="00950544"/>
    <w:rsid w:val="00966075"/>
    <w:rsid w:val="009806BB"/>
    <w:rsid w:val="00996CA2"/>
    <w:rsid w:val="009A5A71"/>
    <w:rsid w:val="009B0B70"/>
    <w:rsid w:val="009B1C68"/>
    <w:rsid w:val="009B6B53"/>
    <w:rsid w:val="009D4EA2"/>
    <w:rsid w:val="009E77F0"/>
    <w:rsid w:val="00A04E3C"/>
    <w:rsid w:val="00A20189"/>
    <w:rsid w:val="00A23AE8"/>
    <w:rsid w:val="00A33490"/>
    <w:rsid w:val="00A351FE"/>
    <w:rsid w:val="00A51864"/>
    <w:rsid w:val="00A545D8"/>
    <w:rsid w:val="00A65A91"/>
    <w:rsid w:val="00A72C4E"/>
    <w:rsid w:val="00A81BD6"/>
    <w:rsid w:val="00A83AF7"/>
    <w:rsid w:val="00A83DE6"/>
    <w:rsid w:val="00A84181"/>
    <w:rsid w:val="00A927E2"/>
    <w:rsid w:val="00A96A4B"/>
    <w:rsid w:val="00AA0D88"/>
    <w:rsid w:val="00AB5805"/>
    <w:rsid w:val="00AB6BCD"/>
    <w:rsid w:val="00AD13F5"/>
    <w:rsid w:val="00AD5006"/>
    <w:rsid w:val="00AE1912"/>
    <w:rsid w:val="00AF0F42"/>
    <w:rsid w:val="00AF4389"/>
    <w:rsid w:val="00AF7FB3"/>
    <w:rsid w:val="00B02CA9"/>
    <w:rsid w:val="00B02ECF"/>
    <w:rsid w:val="00B04DCB"/>
    <w:rsid w:val="00B10E03"/>
    <w:rsid w:val="00B114F6"/>
    <w:rsid w:val="00B17D1B"/>
    <w:rsid w:val="00B30DAB"/>
    <w:rsid w:val="00B3708C"/>
    <w:rsid w:val="00B44C2B"/>
    <w:rsid w:val="00B56E1C"/>
    <w:rsid w:val="00B66C16"/>
    <w:rsid w:val="00B71721"/>
    <w:rsid w:val="00B769B6"/>
    <w:rsid w:val="00B85A51"/>
    <w:rsid w:val="00BA565F"/>
    <w:rsid w:val="00BB0577"/>
    <w:rsid w:val="00BB5E41"/>
    <w:rsid w:val="00BC5D17"/>
    <w:rsid w:val="00BD0822"/>
    <w:rsid w:val="00BD3EF0"/>
    <w:rsid w:val="00BE05D4"/>
    <w:rsid w:val="00BE617C"/>
    <w:rsid w:val="00BF3B4F"/>
    <w:rsid w:val="00BF7D93"/>
    <w:rsid w:val="00C018CF"/>
    <w:rsid w:val="00C02EF4"/>
    <w:rsid w:val="00C0455B"/>
    <w:rsid w:val="00C051DF"/>
    <w:rsid w:val="00C21DF4"/>
    <w:rsid w:val="00C40176"/>
    <w:rsid w:val="00C45D31"/>
    <w:rsid w:val="00C64953"/>
    <w:rsid w:val="00C74E17"/>
    <w:rsid w:val="00CA3B09"/>
    <w:rsid w:val="00CC3CBE"/>
    <w:rsid w:val="00CF0FEF"/>
    <w:rsid w:val="00D0306A"/>
    <w:rsid w:val="00D14563"/>
    <w:rsid w:val="00D27840"/>
    <w:rsid w:val="00D44644"/>
    <w:rsid w:val="00D44BAC"/>
    <w:rsid w:val="00D570CD"/>
    <w:rsid w:val="00D74E91"/>
    <w:rsid w:val="00D77520"/>
    <w:rsid w:val="00D8465F"/>
    <w:rsid w:val="00D86DC6"/>
    <w:rsid w:val="00DA1769"/>
    <w:rsid w:val="00DA6FD4"/>
    <w:rsid w:val="00DC6FB3"/>
    <w:rsid w:val="00DD04F2"/>
    <w:rsid w:val="00DD5715"/>
    <w:rsid w:val="00DF1791"/>
    <w:rsid w:val="00DF2792"/>
    <w:rsid w:val="00E120DC"/>
    <w:rsid w:val="00E17BC5"/>
    <w:rsid w:val="00E22A68"/>
    <w:rsid w:val="00E3059B"/>
    <w:rsid w:val="00E404E9"/>
    <w:rsid w:val="00E47400"/>
    <w:rsid w:val="00E50144"/>
    <w:rsid w:val="00E6398D"/>
    <w:rsid w:val="00E6772A"/>
    <w:rsid w:val="00E775A7"/>
    <w:rsid w:val="00E84933"/>
    <w:rsid w:val="00E9220D"/>
    <w:rsid w:val="00EB0786"/>
    <w:rsid w:val="00EB0C23"/>
    <w:rsid w:val="00EB581A"/>
    <w:rsid w:val="00EC2509"/>
    <w:rsid w:val="00EC314C"/>
    <w:rsid w:val="00EC43D3"/>
    <w:rsid w:val="00EC57B6"/>
    <w:rsid w:val="00EC6E9C"/>
    <w:rsid w:val="00EE0F51"/>
    <w:rsid w:val="00EE5F47"/>
    <w:rsid w:val="00F13EE8"/>
    <w:rsid w:val="00F333B9"/>
    <w:rsid w:val="00F33544"/>
    <w:rsid w:val="00F35D82"/>
    <w:rsid w:val="00F4009C"/>
    <w:rsid w:val="00F4594C"/>
    <w:rsid w:val="00F55B36"/>
    <w:rsid w:val="00F55F6B"/>
    <w:rsid w:val="00F60EA2"/>
    <w:rsid w:val="00F82AAD"/>
    <w:rsid w:val="00F92CD0"/>
    <w:rsid w:val="00F940C0"/>
    <w:rsid w:val="00FA423A"/>
    <w:rsid w:val="00FB1F91"/>
    <w:rsid w:val="00FC2F3E"/>
    <w:rsid w:val="00FD7034"/>
    <w:rsid w:val="00FF2024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F4E0"/>
  <w15:chartTrackingRefBased/>
  <w15:docId w15:val="{EFB17DE9-97CC-4D4A-AC1E-84EAFC7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E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4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5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581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581A"/>
    <w:rPr>
      <w:rFonts w:ascii="Verdana" w:eastAsiaTheme="minorEastAsia" w:hAnsi="Verdan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81A"/>
    <w:rPr>
      <w:rFonts w:ascii="Verdana" w:eastAsiaTheme="minorEastAsia" w:hAnsi="Verdana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9806BB"/>
    <w:pPr>
      <w:spacing w:after="0" w:line="240" w:lineRule="auto"/>
    </w:pPr>
    <w:rPr>
      <w:rFonts w:ascii="Verdana" w:eastAsiaTheme="minorEastAsia" w:hAnsi="Verdana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A65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4C2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Michel</dc:creator>
  <cp:keywords/>
  <dc:description/>
  <cp:lastModifiedBy>Grzechnik-Laskus Monika</cp:lastModifiedBy>
  <cp:revision>2</cp:revision>
  <dcterms:created xsi:type="dcterms:W3CDTF">2024-03-27T09:41:00Z</dcterms:created>
  <dcterms:modified xsi:type="dcterms:W3CDTF">2024-03-27T09:41:00Z</dcterms:modified>
  <cp:category>…</cp:category>
</cp:coreProperties>
</file>